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3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390"/>
      </w:tblGrid>
      <w:tr w:rsidR="00B44276" w:rsidRPr="00F16676" w14:paraId="55AC37F5" w14:textId="77777777" w:rsidTr="009D7571">
        <w:trPr>
          <w:trHeight w:val="397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49DC" w14:textId="77777777" w:rsidR="00B44276" w:rsidRPr="00F16676" w:rsidRDefault="00B44276" w:rsidP="009D7571">
            <w:pPr>
              <w:rPr>
                <w:rFonts w:cs="Arial"/>
                <w:szCs w:val="24"/>
              </w:rPr>
            </w:pPr>
            <w:bookmarkStart w:id="0" w:name="_Hlk167102542"/>
            <w:bookmarkStart w:id="1" w:name="_Hlk189575483"/>
            <w:r w:rsidRPr="00F16676">
              <w:rPr>
                <w:rFonts w:cs="Arial"/>
                <w:szCs w:val="24"/>
              </w:rPr>
              <w:t>Inwestor: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605A" w14:textId="5D0F5D2A" w:rsidR="005276A7" w:rsidRPr="004960B6" w:rsidRDefault="00B67969" w:rsidP="00B67969">
            <w:pPr>
              <w:autoSpaceDE w:val="0"/>
              <w:autoSpaceDN w:val="0"/>
              <w:adjustRightInd w:val="0"/>
              <w:rPr>
                <w:rFonts w:cs="Calibri Light"/>
                <w:szCs w:val="24"/>
              </w:rPr>
            </w:pPr>
            <w:r w:rsidRPr="00B67969">
              <w:rPr>
                <w:rFonts w:cs="Calibri Light"/>
                <w:szCs w:val="24"/>
              </w:rPr>
              <w:t xml:space="preserve">REDKOM PARK BIELSKO </w:t>
            </w:r>
            <w:proofErr w:type="spellStart"/>
            <w:r w:rsidRPr="00B67969">
              <w:rPr>
                <w:rFonts w:cs="Calibri Light"/>
                <w:szCs w:val="24"/>
              </w:rPr>
              <w:t>Sp.z</w:t>
            </w:r>
            <w:proofErr w:type="spellEnd"/>
            <w:r w:rsidRPr="00B67969">
              <w:rPr>
                <w:rFonts w:cs="Calibri Light"/>
                <w:szCs w:val="24"/>
              </w:rPr>
              <w:t xml:space="preserve"> o.o.</w:t>
            </w:r>
          </w:p>
        </w:tc>
      </w:tr>
    </w:tbl>
    <w:p w14:paraId="4AEB94FC" w14:textId="77777777" w:rsidR="00B44276" w:rsidRPr="00F16676" w:rsidRDefault="00B44276" w:rsidP="00B44276">
      <w:pPr>
        <w:rPr>
          <w:rFonts w:cs="Arial"/>
          <w:szCs w:val="24"/>
        </w:rPr>
      </w:pPr>
    </w:p>
    <w:tbl>
      <w:tblPr>
        <w:tblW w:w="9088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6390"/>
      </w:tblGrid>
      <w:tr w:rsidR="00B44276" w:rsidRPr="00F16676" w14:paraId="5F8C050F" w14:textId="77777777" w:rsidTr="005276A7">
        <w:trPr>
          <w:trHeight w:val="732"/>
          <w:jc w:val="right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5F5D" w14:textId="77777777" w:rsidR="00B44276" w:rsidRPr="00F16676" w:rsidRDefault="00B44276" w:rsidP="009D7571">
            <w:pPr>
              <w:rPr>
                <w:rFonts w:cs="Arial"/>
                <w:szCs w:val="24"/>
              </w:rPr>
            </w:pPr>
            <w:r w:rsidRPr="00F16676">
              <w:rPr>
                <w:rFonts w:cs="Arial"/>
                <w:szCs w:val="24"/>
              </w:rPr>
              <w:t>Adres Inwestor: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AAA1" w14:textId="77777777" w:rsidR="00B67969" w:rsidRPr="00B67969" w:rsidRDefault="00B67969" w:rsidP="00B67969">
            <w:pPr>
              <w:autoSpaceDE w:val="0"/>
              <w:autoSpaceDN w:val="0"/>
              <w:adjustRightInd w:val="0"/>
              <w:rPr>
                <w:rFonts w:cs="Calibri Light"/>
                <w:szCs w:val="24"/>
              </w:rPr>
            </w:pPr>
            <w:r w:rsidRPr="00B67969">
              <w:rPr>
                <w:rFonts w:cs="Calibri Light"/>
                <w:szCs w:val="24"/>
              </w:rPr>
              <w:t xml:space="preserve">ul. Słoneczna 116A, </w:t>
            </w:r>
          </w:p>
          <w:p w14:paraId="476DEF8E" w14:textId="664E1884" w:rsidR="005276A7" w:rsidRPr="005276A7" w:rsidRDefault="00B67969" w:rsidP="00B67969">
            <w:pPr>
              <w:autoSpaceDE w:val="0"/>
              <w:autoSpaceDN w:val="0"/>
              <w:adjustRightInd w:val="0"/>
              <w:rPr>
                <w:rFonts w:cs="Calibri Light"/>
                <w:szCs w:val="24"/>
              </w:rPr>
            </w:pPr>
            <w:r w:rsidRPr="00B67969">
              <w:rPr>
                <w:rFonts w:cs="Calibri Light"/>
                <w:szCs w:val="24"/>
              </w:rPr>
              <w:t>05-500 Stara Iwiczna</w:t>
            </w:r>
          </w:p>
        </w:tc>
      </w:tr>
    </w:tbl>
    <w:p w14:paraId="19AAEE90" w14:textId="77777777" w:rsidR="00B44276" w:rsidRPr="00F16676" w:rsidRDefault="00B44276" w:rsidP="00B44276">
      <w:pPr>
        <w:rPr>
          <w:rFonts w:cs="Arial"/>
          <w:szCs w:val="24"/>
        </w:rPr>
      </w:pPr>
    </w:p>
    <w:tbl>
      <w:tblPr>
        <w:tblW w:w="9083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390"/>
      </w:tblGrid>
      <w:tr w:rsidR="00B44276" w:rsidRPr="00F16676" w14:paraId="2C897A9B" w14:textId="77777777" w:rsidTr="005276A7">
        <w:trPr>
          <w:trHeight w:val="340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EC32F" w14:textId="16833CD2" w:rsidR="00B44276" w:rsidRPr="00F16676" w:rsidRDefault="00B44276" w:rsidP="009D7571">
            <w:pPr>
              <w:jc w:val="left"/>
              <w:rPr>
                <w:rFonts w:cs="Arial"/>
                <w:szCs w:val="24"/>
              </w:rPr>
            </w:pPr>
            <w:r w:rsidRPr="00F16676">
              <w:rPr>
                <w:rFonts w:cs="Arial"/>
                <w:szCs w:val="24"/>
              </w:rPr>
              <w:t>Nazwa zamierzenia</w:t>
            </w:r>
            <w:r w:rsidR="000D723A">
              <w:rPr>
                <w:rFonts w:cs="Arial"/>
                <w:szCs w:val="24"/>
              </w:rPr>
              <w:t>: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B6BD" w14:textId="52E5E73A" w:rsidR="005276A7" w:rsidRPr="0015614B" w:rsidRDefault="00B67969" w:rsidP="004960B6">
            <w:pPr>
              <w:autoSpaceDE w:val="0"/>
              <w:autoSpaceDN w:val="0"/>
              <w:adjustRightInd w:val="0"/>
              <w:jc w:val="left"/>
              <w:rPr>
                <w:rFonts w:cs="Calibri Light"/>
                <w:szCs w:val="24"/>
              </w:rPr>
            </w:pPr>
            <w:r w:rsidRPr="00B67969">
              <w:rPr>
                <w:rFonts w:cs="Calibri Light"/>
                <w:szCs w:val="24"/>
              </w:rPr>
              <w:t xml:space="preserve">Aranżacja lokalu nr 0.01 w obiekcie handlowym przy </w:t>
            </w:r>
            <w:r w:rsidR="00E66362">
              <w:rPr>
                <w:rFonts w:cs="Calibri Light"/>
                <w:szCs w:val="24"/>
              </w:rPr>
              <w:br/>
            </w:r>
            <w:r w:rsidRPr="00B67969">
              <w:rPr>
                <w:rFonts w:cs="Calibri Light"/>
                <w:szCs w:val="24"/>
              </w:rPr>
              <w:t>ul. Warszawskiej 180, w Bielsku Białej</w:t>
            </w:r>
          </w:p>
        </w:tc>
      </w:tr>
    </w:tbl>
    <w:p w14:paraId="31314F39" w14:textId="77777777" w:rsidR="00B44276" w:rsidRPr="00F16676" w:rsidRDefault="00B44276" w:rsidP="00B44276">
      <w:pPr>
        <w:rPr>
          <w:rFonts w:cs="Arial"/>
          <w:szCs w:val="24"/>
        </w:rPr>
      </w:pPr>
    </w:p>
    <w:tbl>
      <w:tblPr>
        <w:tblW w:w="9083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390"/>
      </w:tblGrid>
      <w:tr w:rsidR="00B44276" w:rsidRPr="00F16676" w14:paraId="25408ECF" w14:textId="77777777" w:rsidTr="005276A7">
        <w:trPr>
          <w:trHeight w:val="384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8F90D" w14:textId="77777777" w:rsidR="00B44276" w:rsidRPr="00F16676" w:rsidRDefault="00B44276" w:rsidP="009D7571">
            <w:pPr>
              <w:rPr>
                <w:rFonts w:cs="Arial"/>
                <w:szCs w:val="24"/>
              </w:rPr>
            </w:pPr>
            <w:r w:rsidRPr="00F16676">
              <w:rPr>
                <w:rFonts w:cs="Arial"/>
                <w:szCs w:val="24"/>
              </w:rPr>
              <w:t xml:space="preserve">Adres zamierzenia </w:t>
            </w:r>
          </w:p>
          <w:p w14:paraId="12373C2C" w14:textId="77777777" w:rsidR="00B44276" w:rsidRPr="00F16676" w:rsidRDefault="00B44276" w:rsidP="009D7571">
            <w:pPr>
              <w:rPr>
                <w:rFonts w:cs="Arial"/>
                <w:szCs w:val="24"/>
              </w:rPr>
            </w:pPr>
            <w:r w:rsidRPr="00F16676">
              <w:rPr>
                <w:rFonts w:cs="Arial"/>
                <w:szCs w:val="24"/>
              </w:rPr>
              <w:t>budowlanego: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4251" w14:textId="7D5CE9FE" w:rsidR="004960B6" w:rsidRPr="004960B6" w:rsidRDefault="004960B6" w:rsidP="004960B6">
            <w:pPr>
              <w:autoSpaceDE w:val="0"/>
              <w:autoSpaceDN w:val="0"/>
              <w:adjustRightInd w:val="0"/>
              <w:jc w:val="left"/>
              <w:rPr>
                <w:rFonts w:cs="Calibri Light"/>
                <w:szCs w:val="24"/>
              </w:rPr>
            </w:pPr>
            <w:r>
              <w:rPr>
                <w:rFonts w:cs="Calibri Light"/>
                <w:szCs w:val="24"/>
              </w:rPr>
              <w:t xml:space="preserve">Pawilon handlowy </w:t>
            </w:r>
            <w:r w:rsidR="00B67969">
              <w:rPr>
                <w:rFonts w:cs="Calibri Light"/>
                <w:szCs w:val="24"/>
              </w:rPr>
              <w:t xml:space="preserve">nr 0.01 </w:t>
            </w:r>
            <w:r>
              <w:rPr>
                <w:rFonts w:cs="Calibri Light"/>
                <w:szCs w:val="24"/>
              </w:rPr>
              <w:t xml:space="preserve">REDKOM </w:t>
            </w:r>
          </w:p>
          <w:p w14:paraId="54F61071" w14:textId="31A045DA" w:rsidR="004960B6" w:rsidRPr="004960B6" w:rsidRDefault="004960B6" w:rsidP="004960B6">
            <w:pPr>
              <w:autoSpaceDE w:val="0"/>
              <w:autoSpaceDN w:val="0"/>
              <w:adjustRightInd w:val="0"/>
              <w:jc w:val="left"/>
              <w:rPr>
                <w:rFonts w:cs="Calibri Light"/>
                <w:szCs w:val="24"/>
              </w:rPr>
            </w:pPr>
            <w:r>
              <w:rPr>
                <w:rFonts w:cs="Calibri Light"/>
                <w:szCs w:val="24"/>
              </w:rPr>
              <w:t>u</w:t>
            </w:r>
            <w:r w:rsidRPr="004960B6">
              <w:rPr>
                <w:rFonts w:cs="Calibri Light"/>
                <w:szCs w:val="24"/>
              </w:rPr>
              <w:t>l.</w:t>
            </w:r>
            <w:r>
              <w:rPr>
                <w:rFonts w:cs="Calibri Light"/>
                <w:szCs w:val="24"/>
              </w:rPr>
              <w:t xml:space="preserve"> W</w:t>
            </w:r>
            <w:r w:rsidRPr="004960B6">
              <w:rPr>
                <w:rFonts w:cs="Calibri Light"/>
                <w:szCs w:val="24"/>
              </w:rPr>
              <w:t>arszawska 180</w:t>
            </w:r>
          </w:p>
          <w:p w14:paraId="6C0C0C4B" w14:textId="34428C4E" w:rsidR="005276A7" w:rsidRPr="0015614B" w:rsidRDefault="004960B6" w:rsidP="004960B6">
            <w:pPr>
              <w:autoSpaceDE w:val="0"/>
              <w:autoSpaceDN w:val="0"/>
              <w:adjustRightInd w:val="0"/>
              <w:jc w:val="left"/>
              <w:rPr>
                <w:rFonts w:cs="Calibri Light"/>
                <w:szCs w:val="24"/>
              </w:rPr>
            </w:pPr>
            <w:r w:rsidRPr="004960B6">
              <w:rPr>
                <w:rFonts w:cs="Calibri Light"/>
                <w:szCs w:val="24"/>
              </w:rPr>
              <w:t>43-346 Bielsko Biała</w:t>
            </w:r>
          </w:p>
        </w:tc>
      </w:tr>
    </w:tbl>
    <w:p w14:paraId="27EC3321" w14:textId="77777777" w:rsidR="00B44276" w:rsidRPr="00F16676" w:rsidRDefault="00B44276" w:rsidP="00B44276">
      <w:pPr>
        <w:rPr>
          <w:rFonts w:cs="Arial"/>
          <w:szCs w:val="24"/>
        </w:rPr>
      </w:pPr>
    </w:p>
    <w:tbl>
      <w:tblPr>
        <w:tblW w:w="9083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390"/>
      </w:tblGrid>
      <w:tr w:rsidR="0015614B" w:rsidRPr="0015614B" w14:paraId="14EA829A" w14:textId="77777777" w:rsidTr="009D7571">
        <w:trPr>
          <w:trHeight w:val="513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22F1B" w14:textId="77777777" w:rsidR="00B44276" w:rsidRPr="00032691" w:rsidRDefault="00B44276" w:rsidP="009D7571">
            <w:pPr>
              <w:rPr>
                <w:rFonts w:cs="Arial"/>
                <w:szCs w:val="24"/>
              </w:rPr>
            </w:pPr>
            <w:r w:rsidRPr="00032691">
              <w:rPr>
                <w:rFonts w:cs="Arial"/>
                <w:szCs w:val="24"/>
              </w:rPr>
              <w:t xml:space="preserve">Identyfikator </w:t>
            </w:r>
          </w:p>
          <w:p w14:paraId="5685F653" w14:textId="77777777" w:rsidR="00B44276" w:rsidRPr="00032691" w:rsidRDefault="00B44276" w:rsidP="009D7571">
            <w:pPr>
              <w:rPr>
                <w:rFonts w:cs="Arial"/>
                <w:szCs w:val="24"/>
              </w:rPr>
            </w:pPr>
            <w:r w:rsidRPr="00032691">
              <w:rPr>
                <w:rFonts w:cs="Arial"/>
                <w:szCs w:val="24"/>
              </w:rPr>
              <w:t>ewidencyjny działki: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ADFC" w14:textId="0D9E2010" w:rsidR="005276A7" w:rsidRPr="00032691" w:rsidRDefault="004960B6" w:rsidP="004960B6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4960B6">
              <w:rPr>
                <w:rFonts w:cs="Arial"/>
                <w:szCs w:val="24"/>
              </w:rPr>
              <w:t>246101_1.0038.47/26</w:t>
            </w:r>
          </w:p>
        </w:tc>
      </w:tr>
    </w:tbl>
    <w:p w14:paraId="03A110B6" w14:textId="77777777" w:rsidR="00B44276" w:rsidRPr="00F16676" w:rsidRDefault="00B44276" w:rsidP="00B44276">
      <w:pPr>
        <w:rPr>
          <w:rFonts w:cs="Arial"/>
          <w:szCs w:val="24"/>
        </w:rPr>
      </w:pPr>
    </w:p>
    <w:tbl>
      <w:tblPr>
        <w:tblW w:w="9082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389"/>
      </w:tblGrid>
      <w:tr w:rsidR="00B44276" w:rsidRPr="00F16676" w14:paraId="2A048B25" w14:textId="77777777" w:rsidTr="009D7571">
        <w:trPr>
          <w:trHeight w:val="606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AC386" w14:textId="77777777" w:rsidR="00B44276" w:rsidRPr="00F16676" w:rsidRDefault="00B44276" w:rsidP="009D7571">
            <w:pPr>
              <w:rPr>
                <w:rFonts w:cs="Arial"/>
                <w:szCs w:val="24"/>
              </w:rPr>
            </w:pPr>
            <w:r w:rsidRPr="00F16676">
              <w:rPr>
                <w:rFonts w:cs="Arial"/>
                <w:szCs w:val="24"/>
              </w:rPr>
              <w:t>Numer i rodzaj</w:t>
            </w:r>
          </w:p>
          <w:p w14:paraId="18FBC85E" w14:textId="77777777" w:rsidR="00B44276" w:rsidRPr="00F16676" w:rsidRDefault="00B44276" w:rsidP="009D7571">
            <w:pPr>
              <w:rPr>
                <w:rFonts w:cs="Arial"/>
                <w:szCs w:val="24"/>
              </w:rPr>
            </w:pPr>
            <w:r w:rsidRPr="00F16676">
              <w:rPr>
                <w:rFonts w:cs="Arial"/>
                <w:szCs w:val="24"/>
              </w:rPr>
              <w:t>opracowania</w:t>
            </w:r>
          </w:p>
        </w:tc>
        <w:tc>
          <w:tcPr>
            <w:tcW w:w="6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1C7C" w14:textId="77777777" w:rsidR="005276A7" w:rsidRDefault="005276A7" w:rsidP="009D7571">
            <w:pPr>
              <w:rPr>
                <w:rFonts w:cs="Arial"/>
                <w:szCs w:val="24"/>
              </w:rPr>
            </w:pPr>
          </w:p>
          <w:p w14:paraId="7CA29EB1" w14:textId="2BE5F7F8" w:rsidR="00B44276" w:rsidRDefault="004960B6" w:rsidP="009D7571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 xml:space="preserve">25026 </w:t>
            </w:r>
            <w:r w:rsidRPr="00E66362">
              <w:rPr>
                <w:rFonts w:cs="Arial"/>
                <w:b/>
                <w:bCs/>
                <w:szCs w:val="24"/>
              </w:rPr>
              <w:t>Projekt techniczny</w:t>
            </w:r>
            <w:r>
              <w:rPr>
                <w:rFonts w:cs="Arial"/>
                <w:szCs w:val="24"/>
              </w:rPr>
              <w:t xml:space="preserve"> </w:t>
            </w:r>
          </w:p>
          <w:p w14:paraId="0E428C14" w14:textId="549A82CF" w:rsidR="005276A7" w:rsidRPr="00F16676" w:rsidRDefault="005276A7" w:rsidP="009D7571">
            <w:pPr>
              <w:rPr>
                <w:rFonts w:cs="Arial"/>
                <w:szCs w:val="24"/>
              </w:rPr>
            </w:pPr>
          </w:p>
        </w:tc>
      </w:tr>
    </w:tbl>
    <w:p w14:paraId="0B5AE6E8" w14:textId="77777777" w:rsidR="00B44276" w:rsidRPr="00F16676" w:rsidRDefault="00B44276" w:rsidP="00B44276">
      <w:pPr>
        <w:rPr>
          <w:rFonts w:cs="Arial"/>
          <w:szCs w:val="24"/>
        </w:rPr>
      </w:pPr>
    </w:p>
    <w:tbl>
      <w:tblPr>
        <w:tblW w:w="9083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390"/>
      </w:tblGrid>
      <w:tr w:rsidR="00B44276" w:rsidRPr="00F16676" w14:paraId="4C5F1765" w14:textId="77777777" w:rsidTr="009D7571">
        <w:trPr>
          <w:trHeight w:val="680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90B4D" w14:textId="77777777" w:rsidR="00B44276" w:rsidRPr="00F16676" w:rsidRDefault="00B44276" w:rsidP="009D7571">
            <w:pPr>
              <w:rPr>
                <w:rFonts w:cs="Arial"/>
                <w:szCs w:val="24"/>
              </w:rPr>
            </w:pPr>
            <w:r w:rsidRPr="00F16676">
              <w:rPr>
                <w:rFonts w:cs="Arial"/>
                <w:szCs w:val="24"/>
              </w:rPr>
              <w:t>Biuro autorskie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58C9" w14:textId="77777777" w:rsidR="005276A7" w:rsidRDefault="005276A7" w:rsidP="009D7571">
            <w:pPr>
              <w:rPr>
                <w:rFonts w:asciiTheme="majorHAnsi" w:hAnsiTheme="majorHAnsi"/>
                <w:szCs w:val="24"/>
              </w:rPr>
            </w:pPr>
          </w:p>
          <w:p w14:paraId="28136B94" w14:textId="05AEF234" w:rsidR="00B44276" w:rsidRPr="00F16676" w:rsidRDefault="00B44276" w:rsidP="009D7571">
            <w:pPr>
              <w:rPr>
                <w:szCs w:val="24"/>
              </w:rPr>
            </w:pPr>
            <w:r w:rsidRPr="00F16676">
              <w:rPr>
                <w:rFonts w:asciiTheme="majorHAnsi" w:hAnsiTheme="majorHAnsi"/>
                <w:szCs w:val="24"/>
              </w:rPr>
              <w:t>ZAMS Architekci,</w:t>
            </w:r>
            <w:r w:rsidRPr="00F16676">
              <w:rPr>
                <w:szCs w:val="24"/>
              </w:rPr>
              <w:t xml:space="preserve"> </w:t>
            </w:r>
            <w:r w:rsidRPr="00F16676">
              <w:rPr>
                <w:rFonts w:asciiTheme="majorHAnsi" w:hAnsiTheme="majorHAnsi"/>
                <w:szCs w:val="24"/>
              </w:rPr>
              <w:t>ul. Opłotki 2, 41-707 Ruda Śląska</w:t>
            </w:r>
          </w:p>
          <w:p w14:paraId="4DE55AD6" w14:textId="13A5140E" w:rsidR="005276A7" w:rsidRDefault="00F31AEA" w:rsidP="009D7571">
            <w:pPr>
              <w:rPr>
                <w:szCs w:val="24"/>
              </w:rPr>
            </w:pPr>
            <w:hyperlink r:id="rId8" w:history="1">
              <w:r w:rsidR="00B44276" w:rsidRPr="00F16676">
                <w:rPr>
                  <w:szCs w:val="24"/>
                </w:rPr>
                <w:t>tel:+48</w:t>
              </w:r>
            </w:hyperlink>
            <w:r w:rsidR="00B44276" w:rsidRPr="00F16676">
              <w:rPr>
                <w:szCs w:val="24"/>
              </w:rPr>
              <w:t> </w:t>
            </w:r>
            <w:r w:rsidR="005276A7">
              <w:rPr>
                <w:szCs w:val="24"/>
              </w:rPr>
              <w:t>577</w:t>
            </w:r>
            <w:r w:rsidR="00B44276" w:rsidRPr="00F16676">
              <w:rPr>
                <w:szCs w:val="24"/>
              </w:rPr>
              <w:t> </w:t>
            </w:r>
            <w:r w:rsidR="005276A7">
              <w:rPr>
                <w:szCs w:val="24"/>
              </w:rPr>
              <w:t>688 455</w:t>
            </w:r>
          </w:p>
          <w:p w14:paraId="0C12E81B" w14:textId="2692F7C4" w:rsidR="005276A7" w:rsidRPr="005276A7" w:rsidRDefault="005276A7" w:rsidP="009D7571">
            <w:pPr>
              <w:rPr>
                <w:szCs w:val="24"/>
              </w:rPr>
            </w:pPr>
          </w:p>
        </w:tc>
      </w:tr>
    </w:tbl>
    <w:p w14:paraId="77115162" w14:textId="77777777" w:rsidR="00B44276" w:rsidRPr="00F16676" w:rsidRDefault="00B44276" w:rsidP="00B44276">
      <w:pPr>
        <w:rPr>
          <w:rFonts w:cs="Arial"/>
          <w:szCs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1"/>
        <w:gridCol w:w="1816"/>
        <w:gridCol w:w="1555"/>
        <w:gridCol w:w="1807"/>
      </w:tblGrid>
      <w:tr w:rsidR="00B44276" w:rsidRPr="00F16676" w14:paraId="53F1D810" w14:textId="77777777" w:rsidTr="009D7571">
        <w:trPr>
          <w:trHeight w:val="567"/>
          <w:jc w:val="right"/>
        </w:trPr>
        <w:tc>
          <w:tcPr>
            <w:tcW w:w="1072" w:type="pct"/>
            <w:vAlign w:val="center"/>
          </w:tcPr>
          <w:p w14:paraId="6E6C18AE" w14:textId="77777777" w:rsidR="00B44276" w:rsidRPr="00F16676" w:rsidRDefault="00B44276" w:rsidP="009D7571">
            <w:pPr>
              <w:rPr>
                <w:rFonts w:cs="Arial"/>
                <w:szCs w:val="24"/>
              </w:rPr>
            </w:pPr>
            <w:r w:rsidRPr="00F16676">
              <w:rPr>
                <w:rFonts w:cs="Arial"/>
                <w:szCs w:val="24"/>
              </w:rPr>
              <w:t>Funkcja</w:t>
            </w:r>
          </w:p>
        </w:tc>
        <w:tc>
          <w:tcPr>
            <w:tcW w:w="1071" w:type="pct"/>
            <w:vAlign w:val="center"/>
          </w:tcPr>
          <w:p w14:paraId="43FBC39F" w14:textId="77777777" w:rsidR="00B44276" w:rsidRPr="00F16676" w:rsidRDefault="00B44276" w:rsidP="009D7571">
            <w:pPr>
              <w:rPr>
                <w:rFonts w:cs="Arial"/>
                <w:szCs w:val="24"/>
              </w:rPr>
            </w:pPr>
            <w:r w:rsidRPr="00F16676">
              <w:rPr>
                <w:rFonts w:cs="Arial"/>
                <w:szCs w:val="24"/>
              </w:rPr>
              <w:t xml:space="preserve">Tytuł, </w:t>
            </w:r>
            <w:r w:rsidRPr="00F16676">
              <w:rPr>
                <w:rFonts w:cs="Arial"/>
                <w:szCs w:val="24"/>
              </w:rPr>
              <w:br/>
              <w:t>imię, nazwisko</w:t>
            </w:r>
          </w:p>
        </w:tc>
        <w:tc>
          <w:tcPr>
            <w:tcW w:w="1002" w:type="pct"/>
            <w:vAlign w:val="center"/>
          </w:tcPr>
          <w:p w14:paraId="2C8C80B5" w14:textId="77777777" w:rsidR="00B44276" w:rsidRPr="00F16676" w:rsidRDefault="00B44276" w:rsidP="009D7571">
            <w:pPr>
              <w:rPr>
                <w:rFonts w:cs="Arial"/>
                <w:szCs w:val="24"/>
              </w:rPr>
            </w:pPr>
            <w:r w:rsidRPr="00F16676">
              <w:rPr>
                <w:rFonts w:cs="Arial"/>
                <w:szCs w:val="24"/>
              </w:rPr>
              <w:t xml:space="preserve">Specjalność: </w:t>
            </w:r>
          </w:p>
        </w:tc>
        <w:tc>
          <w:tcPr>
            <w:tcW w:w="858" w:type="pct"/>
            <w:vAlign w:val="center"/>
          </w:tcPr>
          <w:p w14:paraId="25326058" w14:textId="77777777" w:rsidR="00B44276" w:rsidRPr="00F16676" w:rsidRDefault="00B44276" w:rsidP="009D7571">
            <w:pPr>
              <w:rPr>
                <w:rFonts w:cs="Arial"/>
                <w:szCs w:val="24"/>
              </w:rPr>
            </w:pPr>
            <w:r w:rsidRPr="00F16676">
              <w:rPr>
                <w:rFonts w:cs="Arial"/>
                <w:szCs w:val="24"/>
              </w:rPr>
              <w:t>Nr uprawnień</w:t>
            </w:r>
          </w:p>
        </w:tc>
        <w:tc>
          <w:tcPr>
            <w:tcW w:w="997" w:type="pct"/>
            <w:vAlign w:val="center"/>
          </w:tcPr>
          <w:p w14:paraId="18A6D97A" w14:textId="77777777" w:rsidR="00B44276" w:rsidRPr="00F16676" w:rsidRDefault="00B44276" w:rsidP="009D7571">
            <w:pPr>
              <w:rPr>
                <w:rFonts w:cs="Arial"/>
                <w:szCs w:val="24"/>
              </w:rPr>
            </w:pPr>
            <w:r w:rsidRPr="00F16676">
              <w:rPr>
                <w:rFonts w:cs="Arial"/>
                <w:szCs w:val="24"/>
              </w:rPr>
              <w:t>Podpis</w:t>
            </w:r>
          </w:p>
        </w:tc>
      </w:tr>
      <w:tr w:rsidR="00E12573" w:rsidRPr="00F16676" w14:paraId="15A44DFD" w14:textId="77777777" w:rsidTr="009D7571">
        <w:trPr>
          <w:cantSplit/>
          <w:trHeight w:val="714"/>
          <w:jc w:val="right"/>
        </w:trPr>
        <w:tc>
          <w:tcPr>
            <w:tcW w:w="1072" w:type="pct"/>
            <w:shd w:val="clear" w:color="auto" w:fill="auto"/>
            <w:vAlign w:val="center"/>
          </w:tcPr>
          <w:p w14:paraId="5836CCEC" w14:textId="03418518" w:rsidR="00E12573" w:rsidRPr="00F16676" w:rsidRDefault="00E12573" w:rsidP="00E12573">
            <w:pPr>
              <w:rPr>
                <w:rFonts w:cs="Arial"/>
                <w:szCs w:val="24"/>
              </w:rPr>
            </w:pPr>
            <w:r w:rsidRPr="00B83E97">
              <w:rPr>
                <w:rFonts w:cs="Arial"/>
                <w:szCs w:val="24"/>
              </w:rPr>
              <w:t>Projektował:</w:t>
            </w:r>
          </w:p>
        </w:tc>
        <w:tc>
          <w:tcPr>
            <w:tcW w:w="1071" w:type="pct"/>
            <w:vAlign w:val="center"/>
          </w:tcPr>
          <w:p w14:paraId="03D359E0" w14:textId="77777777" w:rsidR="00E12573" w:rsidRPr="00B83E97" w:rsidRDefault="00E12573" w:rsidP="00E12573">
            <w:pPr>
              <w:rPr>
                <w:rFonts w:cs="Arial"/>
                <w:szCs w:val="24"/>
              </w:rPr>
            </w:pPr>
            <w:r w:rsidRPr="00B83E97">
              <w:rPr>
                <w:rFonts w:cs="Arial"/>
                <w:szCs w:val="24"/>
              </w:rPr>
              <w:t xml:space="preserve">mgr inż. </w:t>
            </w:r>
          </w:p>
          <w:p w14:paraId="496062DC" w14:textId="76AC7EC9" w:rsidR="00E12573" w:rsidRPr="00F16676" w:rsidRDefault="00F31AEA" w:rsidP="00E12573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Bartosz Rek</w:t>
            </w:r>
          </w:p>
        </w:tc>
        <w:tc>
          <w:tcPr>
            <w:tcW w:w="1002" w:type="pct"/>
            <w:vAlign w:val="center"/>
          </w:tcPr>
          <w:p w14:paraId="11BD65B2" w14:textId="22CB8A9E" w:rsidR="00E12573" w:rsidRPr="00F16676" w:rsidRDefault="00F31AEA" w:rsidP="00E1257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elektryczna</w:t>
            </w:r>
          </w:p>
        </w:tc>
        <w:tc>
          <w:tcPr>
            <w:tcW w:w="858" w:type="pct"/>
            <w:vAlign w:val="center"/>
          </w:tcPr>
          <w:p w14:paraId="601893C3" w14:textId="77777777" w:rsidR="00F31AEA" w:rsidRDefault="00F31AEA" w:rsidP="00E1257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SLK/6007/</w:t>
            </w:r>
          </w:p>
          <w:p w14:paraId="29F313FD" w14:textId="29E98751" w:rsidR="00E12573" w:rsidRPr="00F16676" w:rsidRDefault="00F31AEA" w:rsidP="00E1257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PWBE/15</w:t>
            </w:r>
          </w:p>
        </w:tc>
        <w:tc>
          <w:tcPr>
            <w:tcW w:w="997" w:type="pct"/>
            <w:shd w:val="clear" w:color="auto" w:fill="auto"/>
            <w:vAlign w:val="center"/>
          </w:tcPr>
          <w:p w14:paraId="6D529ED5" w14:textId="77777777" w:rsidR="00E12573" w:rsidRPr="00F16676" w:rsidRDefault="00E12573" w:rsidP="00E12573">
            <w:pPr>
              <w:rPr>
                <w:noProof/>
                <w:szCs w:val="24"/>
              </w:rPr>
            </w:pPr>
          </w:p>
        </w:tc>
      </w:tr>
      <w:tr w:rsidR="0015711D" w:rsidRPr="00F16676" w14:paraId="7AC2E682" w14:textId="77777777" w:rsidTr="009D7571">
        <w:trPr>
          <w:cantSplit/>
          <w:trHeight w:val="714"/>
          <w:jc w:val="right"/>
        </w:trPr>
        <w:tc>
          <w:tcPr>
            <w:tcW w:w="1072" w:type="pct"/>
            <w:shd w:val="clear" w:color="auto" w:fill="auto"/>
            <w:vAlign w:val="center"/>
          </w:tcPr>
          <w:p w14:paraId="31E55149" w14:textId="0ED451A7" w:rsidR="0015711D" w:rsidRPr="00B83E97" w:rsidRDefault="0015711D" w:rsidP="0015711D">
            <w:pPr>
              <w:rPr>
                <w:rFonts w:cs="Arial"/>
                <w:szCs w:val="24"/>
              </w:rPr>
            </w:pPr>
            <w:r w:rsidRPr="00BA563A">
              <w:rPr>
                <w:rFonts w:cs="Arial"/>
                <w:szCs w:val="24"/>
              </w:rPr>
              <w:t>Sprawdził:</w:t>
            </w:r>
          </w:p>
        </w:tc>
        <w:tc>
          <w:tcPr>
            <w:tcW w:w="1071" w:type="pct"/>
            <w:vAlign w:val="center"/>
          </w:tcPr>
          <w:p w14:paraId="07D272B3" w14:textId="77777777" w:rsidR="00F31AEA" w:rsidRDefault="0015711D" w:rsidP="00F31AEA">
            <w:pPr>
              <w:jc w:val="left"/>
              <w:rPr>
                <w:rFonts w:cs="Arial"/>
                <w:szCs w:val="24"/>
              </w:rPr>
            </w:pPr>
            <w:r w:rsidRPr="00BA563A">
              <w:rPr>
                <w:rFonts w:cs="Arial"/>
                <w:szCs w:val="24"/>
              </w:rPr>
              <w:t xml:space="preserve">mgr inż. </w:t>
            </w:r>
          </w:p>
          <w:p w14:paraId="456C285E" w14:textId="2F86FAFF" w:rsidR="0015711D" w:rsidRPr="00B83E97" w:rsidRDefault="00F31AEA" w:rsidP="00F31AEA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Piotr </w:t>
            </w:r>
            <w:proofErr w:type="spellStart"/>
            <w:r>
              <w:rPr>
                <w:rFonts w:cs="Arial"/>
                <w:szCs w:val="24"/>
              </w:rPr>
              <w:t>Wójtowiec</w:t>
            </w:r>
            <w:proofErr w:type="spellEnd"/>
          </w:p>
        </w:tc>
        <w:tc>
          <w:tcPr>
            <w:tcW w:w="1002" w:type="pct"/>
            <w:vAlign w:val="center"/>
          </w:tcPr>
          <w:p w14:paraId="615581F4" w14:textId="7E9FCCF1" w:rsidR="0015711D" w:rsidRPr="00B83E97" w:rsidRDefault="00F31AEA" w:rsidP="0015711D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elektryczna</w:t>
            </w:r>
          </w:p>
        </w:tc>
        <w:tc>
          <w:tcPr>
            <w:tcW w:w="858" w:type="pct"/>
            <w:vAlign w:val="center"/>
          </w:tcPr>
          <w:p w14:paraId="59F0368D" w14:textId="1DF425D0" w:rsidR="00F31AEA" w:rsidRDefault="00F31AEA" w:rsidP="00F31AEA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SLK/0532/</w:t>
            </w:r>
          </w:p>
          <w:p w14:paraId="28674562" w14:textId="33D42191" w:rsidR="0015711D" w:rsidRPr="00B83E97" w:rsidRDefault="00F31AEA" w:rsidP="00F31AEA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PWBE/22</w:t>
            </w:r>
          </w:p>
        </w:tc>
        <w:tc>
          <w:tcPr>
            <w:tcW w:w="997" w:type="pct"/>
            <w:shd w:val="clear" w:color="auto" w:fill="auto"/>
            <w:vAlign w:val="center"/>
          </w:tcPr>
          <w:p w14:paraId="1CDD8EFB" w14:textId="77777777" w:rsidR="0015711D" w:rsidRPr="00F16676" w:rsidRDefault="0015711D" w:rsidP="0015711D">
            <w:pPr>
              <w:rPr>
                <w:noProof/>
                <w:szCs w:val="24"/>
              </w:rPr>
            </w:pPr>
          </w:p>
        </w:tc>
      </w:tr>
    </w:tbl>
    <w:p w14:paraId="653C2D79" w14:textId="77777777" w:rsidR="00B44276" w:rsidRPr="00F16676" w:rsidRDefault="00B44276" w:rsidP="00B44276">
      <w:pPr>
        <w:rPr>
          <w:rFonts w:cs="Arial"/>
          <w:szCs w:val="24"/>
        </w:rPr>
      </w:pPr>
    </w:p>
    <w:p w14:paraId="50A961C2" w14:textId="77777777" w:rsidR="00B44276" w:rsidRDefault="00B44276" w:rsidP="00B44276">
      <w:pPr>
        <w:rPr>
          <w:rFonts w:cs="Arial"/>
          <w:szCs w:val="24"/>
        </w:rPr>
      </w:pPr>
    </w:p>
    <w:p w14:paraId="34695B1E" w14:textId="77777777" w:rsidR="00B44276" w:rsidRDefault="00B44276" w:rsidP="00B44276">
      <w:pPr>
        <w:rPr>
          <w:rFonts w:cs="Arial"/>
          <w:szCs w:val="24"/>
        </w:rPr>
      </w:pPr>
    </w:p>
    <w:p w14:paraId="01FEF8A6" w14:textId="77777777" w:rsidR="00F31AEA" w:rsidRDefault="00F31AEA" w:rsidP="00B44276">
      <w:pPr>
        <w:rPr>
          <w:rFonts w:cs="Arial"/>
          <w:szCs w:val="24"/>
        </w:rPr>
      </w:pPr>
    </w:p>
    <w:p w14:paraId="0D183169" w14:textId="77777777" w:rsidR="00B44276" w:rsidRDefault="00B44276" w:rsidP="00B44276">
      <w:pPr>
        <w:rPr>
          <w:rFonts w:cs="Arial"/>
          <w:szCs w:val="24"/>
        </w:rPr>
      </w:pPr>
    </w:p>
    <w:p w14:paraId="3848ED70" w14:textId="77777777" w:rsidR="00F31AEA" w:rsidRDefault="00F31AEA" w:rsidP="00B44276">
      <w:pPr>
        <w:rPr>
          <w:rFonts w:cs="Arial"/>
          <w:szCs w:val="24"/>
        </w:rPr>
      </w:pPr>
    </w:p>
    <w:p w14:paraId="60C9C4BE" w14:textId="77777777" w:rsidR="00F31AEA" w:rsidRDefault="00F31AEA" w:rsidP="00B44276">
      <w:pPr>
        <w:rPr>
          <w:rFonts w:cs="Arial"/>
          <w:szCs w:val="24"/>
        </w:rPr>
      </w:pPr>
    </w:p>
    <w:p w14:paraId="378D8BCF" w14:textId="77777777" w:rsidR="00F31AEA" w:rsidRDefault="00F31AEA" w:rsidP="00B44276">
      <w:pPr>
        <w:rPr>
          <w:rFonts w:cs="Arial"/>
          <w:szCs w:val="24"/>
        </w:rPr>
      </w:pPr>
    </w:p>
    <w:p w14:paraId="4C39556C" w14:textId="77777777" w:rsidR="00F31AEA" w:rsidRDefault="00F31AEA" w:rsidP="00B44276">
      <w:pPr>
        <w:rPr>
          <w:rFonts w:cs="Arial"/>
          <w:szCs w:val="24"/>
        </w:rPr>
      </w:pPr>
    </w:p>
    <w:p w14:paraId="4E8EE62D" w14:textId="77777777" w:rsidR="00F31AEA" w:rsidRDefault="00F31AEA" w:rsidP="00B44276">
      <w:pPr>
        <w:rPr>
          <w:rFonts w:cs="Arial"/>
          <w:szCs w:val="24"/>
        </w:rPr>
      </w:pPr>
    </w:p>
    <w:p w14:paraId="5B21334C" w14:textId="77777777" w:rsidR="00F31AEA" w:rsidRDefault="00F31AEA" w:rsidP="00B44276">
      <w:pPr>
        <w:rPr>
          <w:rFonts w:cs="Arial"/>
          <w:szCs w:val="24"/>
        </w:rPr>
      </w:pPr>
    </w:p>
    <w:p w14:paraId="23B9DA7B" w14:textId="77777777" w:rsidR="00F31AEA" w:rsidRDefault="00F31AEA" w:rsidP="00B44276">
      <w:pPr>
        <w:rPr>
          <w:rFonts w:cs="Arial"/>
          <w:szCs w:val="24"/>
        </w:rPr>
      </w:pPr>
    </w:p>
    <w:p w14:paraId="2BFF5B6E" w14:textId="77777777" w:rsidR="00F31AEA" w:rsidRDefault="00F31AEA" w:rsidP="00B44276">
      <w:pPr>
        <w:rPr>
          <w:rFonts w:cs="Arial"/>
          <w:szCs w:val="24"/>
        </w:rPr>
      </w:pPr>
    </w:p>
    <w:p w14:paraId="7E634E05" w14:textId="77777777" w:rsidR="00F31AEA" w:rsidRDefault="00F31AEA" w:rsidP="00B44276">
      <w:pPr>
        <w:rPr>
          <w:rFonts w:cs="Arial"/>
          <w:szCs w:val="24"/>
        </w:rPr>
      </w:pPr>
    </w:p>
    <w:p w14:paraId="513FFDD6" w14:textId="77777777" w:rsidR="005276A7" w:rsidRPr="00F16676" w:rsidRDefault="005276A7" w:rsidP="00B44276">
      <w:pPr>
        <w:rPr>
          <w:rFonts w:cs="Arial"/>
          <w:szCs w:val="24"/>
        </w:rPr>
      </w:pPr>
    </w:p>
    <w:p w14:paraId="742C4C21" w14:textId="77777777" w:rsidR="00B44276" w:rsidRPr="00F16676" w:rsidRDefault="00B44276" w:rsidP="00B44276">
      <w:pPr>
        <w:rPr>
          <w:rFonts w:cs="Arial"/>
          <w:szCs w:val="24"/>
        </w:rPr>
      </w:pPr>
    </w:p>
    <w:tbl>
      <w:tblPr>
        <w:tblW w:w="9088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399"/>
      </w:tblGrid>
      <w:tr w:rsidR="00B44276" w:rsidRPr="00F16676" w14:paraId="402B5C8D" w14:textId="77777777" w:rsidTr="005276A7">
        <w:trPr>
          <w:trHeight w:val="396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176A9" w14:textId="77777777" w:rsidR="00B44276" w:rsidRPr="00F16676" w:rsidRDefault="00B44276" w:rsidP="009D7571">
            <w:pPr>
              <w:rPr>
                <w:rFonts w:cs="Arial"/>
                <w:szCs w:val="24"/>
              </w:rPr>
            </w:pPr>
            <w:r w:rsidRPr="00F16676">
              <w:rPr>
                <w:rFonts w:cs="Arial"/>
                <w:szCs w:val="24"/>
              </w:rPr>
              <w:t xml:space="preserve">Data opracowania: 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2828" w14:textId="63E7A666" w:rsidR="00B44276" w:rsidRPr="00F16676" w:rsidRDefault="008E5B86" w:rsidP="009D757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Styczeń</w:t>
            </w:r>
            <w:r w:rsidR="00B44276" w:rsidRPr="00F16676">
              <w:rPr>
                <w:rFonts w:cs="Arial"/>
                <w:szCs w:val="24"/>
              </w:rPr>
              <w:t xml:space="preserve"> 202</w:t>
            </w:r>
            <w:r>
              <w:rPr>
                <w:rFonts w:cs="Arial"/>
                <w:szCs w:val="24"/>
              </w:rPr>
              <w:t>5</w:t>
            </w:r>
          </w:p>
        </w:tc>
      </w:tr>
      <w:bookmarkEnd w:id="0"/>
    </w:tbl>
    <w:p w14:paraId="01B71E72" w14:textId="77777777" w:rsidR="00CB7006" w:rsidRDefault="00002186" w:rsidP="00F31AEA">
      <w:pPr>
        <w:pStyle w:val="Spistreci1"/>
        <w:tabs>
          <w:tab w:val="right" w:leader="dot" w:pos="9627"/>
        </w:tabs>
        <w:rPr>
          <w:noProof/>
        </w:rPr>
      </w:pPr>
      <w:r>
        <w:br w:type="page"/>
      </w:r>
      <w:bookmarkEnd w:id="1"/>
      <w:r w:rsidR="00F31AEA">
        <w:fldChar w:fldCharType="begin"/>
      </w:r>
      <w:r w:rsidR="00F31AEA">
        <w:instrText xml:space="preserve"> TOC \o "1-4" \h </w:instrText>
      </w:r>
      <w:r w:rsidR="00F31AEA">
        <w:fldChar w:fldCharType="separate"/>
      </w:r>
    </w:p>
    <w:bookmarkStart w:id="2" w:name="_GoBack"/>
    <w:bookmarkEnd w:id="2"/>
    <w:p w14:paraId="69179988" w14:textId="77777777" w:rsidR="00CB7006" w:rsidRDefault="00CB7006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r w:rsidRPr="0028331A">
        <w:rPr>
          <w:rStyle w:val="Hipercze"/>
          <w:rFonts w:eastAsiaTheme="majorEastAsia"/>
          <w:noProof/>
        </w:rPr>
        <w:lastRenderedPageBreak/>
        <w:fldChar w:fldCharType="begin"/>
      </w:r>
      <w:r w:rsidRPr="0028331A">
        <w:rPr>
          <w:rStyle w:val="Hipercze"/>
          <w:rFonts w:eastAsiaTheme="majorEastAsia"/>
          <w:noProof/>
        </w:rPr>
        <w:instrText xml:space="preserve"> </w:instrText>
      </w:r>
      <w:r>
        <w:rPr>
          <w:noProof/>
        </w:rPr>
        <w:instrText>HYPERLINK \l "_Toc191067808"</w:instrText>
      </w:r>
      <w:r w:rsidRPr="0028331A">
        <w:rPr>
          <w:rStyle w:val="Hipercze"/>
          <w:rFonts w:eastAsiaTheme="majorEastAsia"/>
          <w:noProof/>
        </w:rPr>
        <w:instrText xml:space="preserve"> </w:instrText>
      </w:r>
      <w:r w:rsidRPr="0028331A">
        <w:rPr>
          <w:rStyle w:val="Hipercze"/>
          <w:rFonts w:eastAsiaTheme="majorEastAsia"/>
          <w:noProof/>
        </w:rPr>
      </w:r>
      <w:r w:rsidRPr="0028331A">
        <w:rPr>
          <w:rStyle w:val="Hipercze"/>
          <w:rFonts w:eastAsiaTheme="majorEastAsia"/>
          <w:noProof/>
        </w:rPr>
        <w:fldChar w:fldCharType="separate"/>
      </w:r>
      <w:r w:rsidRPr="0028331A">
        <w:rPr>
          <w:rStyle w:val="Hipercze"/>
          <w:rFonts w:ascii="Arial" w:eastAsiaTheme="majorEastAsia" w:hAnsi="Arial" w:cs="Arial"/>
          <w:noProof/>
        </w:rPr>
        <w:t>1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 w:rsidRPr="0028331A">
        <w:rPr>
          <w:rStyle w:val="Hipercze"/>
          <w:rFonts w:ascii="Arial" w:eastAsiaTheme="majorEastAsia" w:hAnsi="Arial" w:cs="Arial"/>
          <w:noProof/>
        </w:rPr>
        <w:t>WSTĘP.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_Toc191067808 \h </w:instrText>
      </w:r>
      <w:r>
        <w:rPr>
          <w:noProof/>
        </w:rPr>
      </w:r>
      <w:r>
        <w:rPr>
          <w:noProof/>
        </w:rPr>
        <w:fldChar w:fldCharType="separate"/>
      </w:r>
      <w:r w:rsidR="00184452">
        <w:rPr>
          <w:noProof/>
        </w:rPr>
        <w:t>4</w:t>
      </w:r>
      <w:r>
        <w:rPr>
          <w:noProof/>
        </w:rPr>
        <w:fldChar w:fldCharType="end"/>
      </w:r>
      <w:r w:rsidRPr="0028331A">
        <w:rPr>
          <w:rStyle w:val="Hipercze"/>
          <w:rFonts w:eastAsiaTheme="majorEastAsia"/>
          <w:noProof/>
        </w:rPr>
        <w:fldChar w:fldCharType="end"/>
      </w:r>
    </w:p>
    <w:p w14:paraId="4969F75C" w14:textId="77777777" w:rsidR="00CB7006" w:rsidRDefault="00CB7006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067809" w:history="1">
        <w:r w:rsidRPr="0028331A">
          <w:rPr>
            <w:rStyle w:val="Hipercze"/>
            <w:rFonts w:ascii="Arial" w:eastAsiaTheme="majorEastAsia" w:hAnsi="Arial" w:cs="Arial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331A">
          <w:rPr>
            <w:rStyle w:val="Hipercze"/>
            <w:rFonts w:ascii="Arial" w:eastAsiaTheme="majorEastAsia" w:hAnsi="Arial" w:cs="Arial"/>
            <w:noProof/>
          </w:rPr>
          <w:t>Rodzaj projektu.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_Toc191067809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84452"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0143660F" w14:textId="77777777" w:rsidR="00CB7006" w:rsidRDefault="00CB7006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067810" w:history="1">
        <w:r w:rsidRPr="0028331A">
          <w:rPr>
            <w:rStyle w:val="Hipercze"/>
            <w:rFonts w:ascii="Arial" w:eastAsiaTheme="majorEastAsia" w:hAnsi="Arial" w:cs="Arial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331A">
          <w:rPr>
            <w:rStyle w:val="Hipercze"/>
            <w:rFonts w:ascii="Arial" w:eastAsiaTheme="majorEastAsia" w:hAnsi="Arial" w:cs="Arial"/>
            <w:noProof/>
          </w:rPr>
          <w:t>Podstawa opracowania.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_Toc191067810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84452"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11AEF491" w14:textId="77777777" w:rsidR="00CB7006" w:rsidRDefault="00CB7006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067811" w:history="1">
        <w:r w:rsidRPr="0028331A">
          <w:rPr>
            <w:rStyle w:val="Hipercze"/>
            <w:rFonts w:ascii="Arial" w:eastAsiaTheme="majorEastAsia" w:hAnsi="Arial" w:cs="Arial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331A">
          <w:rPr>
            <w:rStyle w:val="Hipercze"/>
            <w:rFonts w:ascii="Arial" w:eastAsiaTheme="majorEastAsia" w:hAnsi="Arial" w:cs="Arial"/>
            <w:noProof/>
          </w:rPr>
          <w:t>Zakres opracowania.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_Toc191067811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84452"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7FE90B1B" w14:textId="77777777" w:rsidR="00CB7006" w:rsidRDefault="00CB7006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067812" w:history="1">
        <w:r w:rsidRPr="0028331A">
          <w:rPr>
            <w:rStyle w:val="Hipercze"/>
            <w:rFonts w:ascii="Arial" w:eastAsiaTheme="majorEastAsia" w:hAnsi="Arial" w:cs="Arial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331A">
          <w:rPr>
            <w:rStyle w:val="Hipercze"/>
            <w:rFonts w:ascii="Arial" w:eastAsiaTheme="majorEastAsia" w:hAnsi="Arial" w:cs="Arial"/>
            <w:noProof/>
          </w:rPr>
          <w:t>INSTALACJE ELEKTRYCZNE.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_Toc191067812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84452"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2A5C0B80" w14:textId="77777777" w:rsidR="00CB7006" w:rsidRDefault="00CB7006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067813" w:history="1">
        <w:r w:rsidRPr="0028331A">
          <w:rPr>
            <w:rStyle w:val="Hipercze"/>
            <w:rFonts w:ascii="Arial" w:eastAsiaTheme="majorEastAsia" w:hAnsi="Arial" w:cs="Arial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331A">
          <w:rPr>
            <w:rStyle w:val="Hipercze"/>
            <w:rFonts w:ascii="Arial" w:eastAsiaTheme="majorEastAsia" w:hAnsi="Arial" w:cs="Arial"/>
            <w:noProof/>
          </w:rPr>
          <w:t>Zasilanie.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_Toc191067813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84452"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2831F2F6" w14:textId="77777777" w:rsidR="00CB7006" w:rsidRDefault="00CB7006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067814" w:history="1">
        <w:r w:rsidRPr="0028331A">
          <w:rPr>
            <w:rStyle w:val="Hipercze"/>
            <w:rFonts w:ascii="Arial" w:eastAsiaTheme="majorEastAsia" w:hAnsi="Arial" w:cs="Arial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331A">
          <w:rPr>
            <w:rStyle w:val="Hipercze"/>
            <w:rFonts w:ascii="Arial" w:eastAsiaTheme="majorEastAsia" w:hAnsi="Arial" w:cs="Arial"/>
            <w:noProof/>
          </w:rPr>
          <w:t>Ochrona przeciwporażeniowa.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_Toc191067814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84452"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1F428975" w14:textId="77777777" w:rsidR="00CB7006" w:rsidRDefault="00CB7006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067815" w:history="1">
        <w:r w:rsidRPr="0028331A">
          <w:rPr>
            <w:rStyle w:val="Hipercze"/>
            <w:rFonts w:ascii="Arial" w:eastAsiaTheme="majorEastAsia" w:hAnsi="Arial" w:cs="Arial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331A">
          <w:rPr>
            <w:rStyle w:val="Hipercze"/>
            <w:rFonts w:ascii="Arial" w:eastAsiaTheme="majorEastAsia" w:hAnsi="Arial" w:cs="Arial"/>
            <w:noProof/>
          </w:rPr>
          <w:t>Instalacja oświetlenia podstawowego.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_Toc191067815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84452"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56A008EC" w14:textId="77777777" w:rsidR="00CB7006" w:rsidRDefault="00CB7006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067816" w:history="1">
        <w:r w:rsidRPr="0028331A">
          <w:rPr>
            <w:rStyle w:val="Hipercze"/>
            <w:rFonts w:ascii="Arial" w:eastAsiaTheme="majorEastAsia" w:hAnsi="Arial" w:cs="Arial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331A">
          <w:rPr>
            <w:rStyle w:val="Hipercze"/>
            <w:rFonts w:ascii="Arial" w:eastAsiaTheme="majorEastAsia" w:hAnsi="Arial" w:cs="Arial"/>
            <w:noProof/>
          </w:rPr>
          <w:t>Instalacja oświetlenia awaryjnego.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_Toc191067816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84452"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54832125" w14:textId="77777777" w:rsidR="00CB7006" w:rsidRDefault="00CB7006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067817" w:history="1">
        <w:r w:rsidRPr="0028331A">
          <w:rPr>
            <w:rStyle w:val="Hipercze"/>
            <w:rFonts w:ascii="Arial" w:eastAsiaTheme="majorEastAsia" w:hAnsi="Arial" w:cs="Arial"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331A">
          <w:rPr>
            <w:rStyle w:val="Hipercze"/>
            <w:rFonts w:ascii="Arial" w:eastAsiaTheme="majorEastAsia" w:hAnsi="Arial" w:cs="Arial"/>
            <w:noProof/>
          </w:rPr>
          <w:t>Układanie przewodów i kabli.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_Toc191067817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84452"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459B795C" w14:textId="77777777" w:rsidR="00CB7006" w:rsidRDefault="00CB7006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067818" w:history="1">
        <w:r w:rsidRPr="0028331A">
          <w:rPr>
            <w:rStyle w:val="Hipercze"/>
            <w:rFonts w:ascii="Arial" w:eastAsiaTheme="majorEastAsia" w:hAnsi="Arial" w:cs="Arial"/>
            <w:noProof/>
          </w:rPr>
          <w:t>2.6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331A">
          <w:rPr>
            <w:rStyle w:val="Hipercze"/>
            <w:rFonts w:ascii="Arial" w:eastAsiaTheme="majorEastAsia" w:hAnsi="Arial" w:cs="Arial"/>
            <w:noProof/>
          </w:rPr>
          <w:t>Dobór kabli i przewodów.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_Toc191067818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84452"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788B8DFE" w14:textId="77777777" w:rsidR="00CB7006" w:rsidRDefault="00CB7006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067819" w:history="1">
        <w:r w:rsidRPr="0028331A">
          <w:rPr>
            <w:rStyle w:val="Hipercze"/>
            <w:rFonts w:ascii="Arial" w:eastAsiaTheme="majorEastAsia" w:hAnsi="Arial" w:cs="Arial"/>
            <w:noProof/>
          </w:rPr>
          <w:t>2.7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331A">
          <w:rPr>
            <w:rStyle w:val="Hipercze"/>
            <w:rFonts w:ascii="Arial" w:eastAsiaTheme="majorEastAsia" w:hAnsi="Arial" w:cs="Arial"/>
            <w:noProof/>
          </w:rPr>
          <w:t>Ochrona przepięciowa.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_Toc191067819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84452"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1CD345BB" w14:textId="77777777" w:rsidR="00CB7006" w:rsidRDefault="00CB7006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067820" w:history="1">
        <w:r w:rsidRPr="0028331A">
          <w:rPr>
            <w:rStyle w:val="Hipercze"/>
            <w:rFonts w:ascii="Arial" w:eastAsiaTheme="majorEastAsia" w:hAnsi="Arial" w:cs="Arial"/>
            <w:noProof/>
          </w:rPr>
          <w:t>2.8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331A">
          <w:rPr>
            <w:rStyle w:val="Hipercze"/>
            <w:rFonts w:ascii="Arial" w:eastAsiaTheme="majorEastAsia" w:hAnsi="Arial" w:cs="Arial"/>
            <w:noProof/>
          </w:rPr>
          <w:t>Połączenia wyrównawcze.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_Toc191067820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84452"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7026E588" w14:textId="77777777" w:rsidR="00CB7006" w:rsidRDefault="00CB7006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067821" w:history="1">
        <w:r w:rsidRPr="0028331A">
          <w:rPr>
            <w:rStyle w:val="Hipercze"/>
            <w:rFonts w:ascii="Arial" w:eastAsiaTheme="majorEastAsia" w:hAnsi="Arial" w:cs="Arial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331A">
          <w:rPr>
            <w:rStyle w:val="Hipercze"/>
            <w:rFonts w:ascii="Arial" w:eastAsiaTheme="majorEastAsia" w:hAnsi="Arial" w:cs="Arial"/>
            <w:noProof/>
          </w:rPr>
          <w:t>Bezpieczeństwo i Ochrona Zdrowia w trakcie wykonywania robót elektrycznych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_Toc191067821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84452"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1F408101" w14:textId="77777777" w:rsidR="00CB7006" w:rsidRDefault="00CB7006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067822" w:history="1">
        <w:r w:rsidRPr="0028331A">
          <w:rPr>
            <w:rStyle w:val="Hipercze"/>
            <w:rFonts w:ascii="Arial" w:eastAsiaTheme="majorEastAsia" w:hAnsi="Arial" w:cs="Arial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331A">
          <w:rPr>
            <w:rStyle w:val="Hipercze"/>
            <w:rFonts w:ascii="Arial" w:eastAsiaTheme="majorEastAsia" w:hAnsi="Arial" w:cs="Arial"/>
            <w:noProof/>
          </w:rPr>
          <w:t>UWAGI KOŃCOWE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_Toc191067822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84452"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08A1BABD" w14:textId="77777777" w:rsidR="00CB7006" w:rsidRDefault="00CB7006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067823" w:history="1">
        <w:r w:rsidRPr="0028331A">
          <w:rPr>
            <w:rStyle w:val="Hipercze"/>
            <w:rFonts w:ascii="Arial" w:eastAsiaTheme="majorEastAsia" w:hAnsi="Arial" w:cs="Arial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331A">
          <w:rPr>
            <w:rStyle w:val="Hipercze"/>
            <w:rFonts w:ascii="Arial" w:eastAsiaTheme="majorEastAsia" w:hAnsi="Arial" w:cs="Arial"/>
            <w:noProof/>
          </w:rPr>
          <w:t>NORMY I PRZEPISY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_Toc191067823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84452">
          <w:rPr>
            <w:noProof/>
          </w:rPr>
          <w:t>9</w:t>
        </w:r>
        <w:r>
          <w:rPr>
            <w:noProof/>
          </w:rPr>
          <w:fldChar w:fldCharType="end"/>
        </w:r>
      </w:hyperlink>
    </w:p>
    <w:p w14:paraId="2C0F845A" w14:textId="77777777" w:rsidR="00F31AEA" w:rsidRDefault="00F31AEA" w:rsidP="00F31AEA">
      <w:pPr>
        <w:pStyle w:val="Standard"/>
        <w:jc w:val="both"/>
      </w:pPr>
      <w:r>
        <w:fldChar w:fldCharType="end"/>
      </w:r>
      <w:hyperlink r:id="rId9" w:history="1"/>
    </w:p>
    <w:p w14:paraId="6A5535ED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6202BF01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1E667783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5C039084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04ED19E8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120208B7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7314FC90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072A2756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7733CE01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1972EC4F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68E0548F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0118E531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331D4A37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17078FD5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18259AD9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75B240B5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51DFF27B" w14:textId="77777777" w:rsidR="00CB7006" w:rsidRDefault="00CB7006" w:rsidP="00F31AEA">
      <w:pPr>
        <w:pStyle w:val="Standard"/>
        <w:ind w:firstLine="708"/>
        <w:rPr>
          <w:rFonts w:cs="Arial"/>
        </w:rPr>
      </w:pPr>
    </w:p>
    <w:p w14:paraId="1F5BE038" w14:textId="77777777" w:rsidR="00CB7006" w:rsidRDefault="00CB7006" w:rsidP="00F31AEA">
      <w:pPr>
        <w:pStyle w:val="Standard"/>
        <w:ind w:firstLine="708"/>
        <w:rPr>
          <w:rFonts w:cs="Arial"/>
        </w:rPr>
      </w:pPr>
    </w:p>
    <w:p w14:paraId="22B590C6" w14:textId="77777777" w:rsidR="00CB7006" w:rsidRDefault="00CB7006" w:rsidP="00F31AEA">
      <w:pPr>
        <w:pStyle w:val="Standard"/>
        <w:ind w:firstLine="708"/>
        <w:rPr>
          <w:rFonts w:cs="Arial"/>
        </w:rPr>
      </w:pPr>
    </w:p>
    <w:p w14:paraId="2A7FB9E6" w14:textId="77777777" w:rsidR="00CB7006" w:rsidRDefault="00CB7006" w:rsidP="00F31AEA">
      <w:pPr>
        <w:pStyle w:val="Standard"/>
        <w:ind w:firstLine="708"/>
        <w:rPr>
          <w:rFonts w:cs="Arial"/>
        </w:rPr>
      </w:pPr>
    </w:p>
    <w:p w14:paraId="526963B4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3022C549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40F753A4" w14:textId="67942BFC" w:rsidR="00F31AEA" w:rsidRDefault="00F31AEA" w:rsidP="00F31AEA">
      <w:pPr>
        <w:pStyle w:val="Standard"/>
        <w:ind w:firstLine="708"/>
        <w:rPr>
          <w:rFonts w:cs="Arial"/>
          <w:b/>
          <w:sz w:val="22"/>
        </w:rPr>
      </w:pPr>
      <w:r w:rsidRPr="00F31AEA">
        <w:rPr>
          <w:rFonts w:cs="Arial"/>
          <w:b/>
          <w:sz w:val="22"/>
        </w:rPr>
        <w:lastRenderedPageBreak/>
        <w:t xml:space="preserve">SPIS </w:t>
      </w:r>
      <w:r>
        <w:rPr>
          <w:rFonts w:cs="Arial"/>
          <w:b/>
          <w:sz w:val="22"/>
        </w:rPr>
        <w:t>RYSUNKÓW</w:t>
      </w:r>
    </w:p>
    <w:p w14:paraId="0C223A3D" w14:textId="77777777" w:rsidR="00F31AEA" w:rsidRPr="00F31AEA" w:rsidRDefault="00F31AEA" w:rsidP="00F31AEA">
      <w:pPr>
        <w:pStyle w:val="Standard"/>
        <w:ind w:firstLine="708"/>
        <w:rPr>
          <w:rFonts w:cs="Arial"/>
          <w:b/>
          <w:sz w:val="22"/>
        </w:rPr>
      </w:pPr>
    </w:p>
    <w:p w14:paraId="1B82E255" w14:textId="35D0BA03" w:rsidR="00F31AEA" w:rsidRDefault="00F31AEA" w:rsidP="00F31AEA">
      <w:pPr>
        <w:pStyle w:val="Standard"/>
        <w:ind w:firstLine="708"/>
        <w:rPr>
          <w:rFonts w:cs="Arial"/>
        </w:rPr>
      </w:pPr>
      <w:r>
        <w:rPr>
          <w:rFonts w:cs="Arial"/>
        </w:rPr>
        <w:t>1. E01 – Plan instalacji oświetleniowej</w:t>
      </w:r>
    </w:p>
    <w:p w14:paraId="091C5B27" w14:textId="0FB74F6A" w:rsidR="00F31AEA" w:rsidRDefault="00F31AEA" w:rsidP="00F31AEA">
      <w:pPr>
        <w:pStyle w:val="Standard"/>
        <w:ind w:firstLine="708"/>
        <w:rPr>
          <w:rFonts w:cs="Arial"/>
        </w:rPr>
      </w:pPr>
      <w:r>
        <w:rPr>
          <w:rFonts w:cs="Arial"/>
        </w:rPr>
        <w:t>2. E02 – Plan instalacji siły</w:t>
      </w:r>
    </w:p>
    <w:p w14:paraId="1FE1A1D7" w14:textId="75AE8C48" w:rsidR="00F31AEA" w:rsidRDefault="00F31AEA" w:rsidP="00F31AEA">
      <w:pPr>
        <w:pStyle w:val="Standard"/>
        <w:ind w:firstLine="708"/>
        <w:rPr>
          <w:rFonts w:cs="Arial"/>
        </w:rPr>
      </w:pPr>
      <w:r>
        <w:rPr>
          <w:rFonts w:cs="Arial"/>
        </w:rPr>
        <w:t>3. E03 – Schemat tablicy bezpiecznikowej</w:t>
      </w:r>
    </w:p>
    <w:p w14:paraId="2E0A7133" w14:textId="189AF7D4" w:rsidR="00F31AEA" w:rsidRDefault="00F31AEA" w:rsidP="00F31AEA">
      <w:pPr>
        <w:pStyle w:val="Standard"/>
        <w:ind w:firstLine="708"/>
        <w:rPr>
          <w:rFonts w:cs="Arial"/>
        </w:rPr>
      </w:pPr>
      <w:r>
        <w:rPr>
          <w:rFonts w:cs="Arial"/>
        </w:rPr>
        <w:t>4. E04 – Widok tablicy bezpiecznikowej</w:t>
      </w:r>
    </w:p>
    <w:p w14:paraId="070FCCAB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49063537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5233B20C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2442597E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206FF62A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0243765D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71207DBD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06849F19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28D8279F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0774D8AE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28A93D7D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7FA8B9AD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06E816D1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10BFF1DF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2EAEB65A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7F967954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4AB9752A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47D0AA98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2B2D56FF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056F3CF2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1781CE42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69D2723F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4975C489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460199F4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467C0BD8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1FDF2E05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4FF53368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0CC20276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09E52F01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6B509769" w14:textId="77777777" w:rsidR="00F31AEA" w:rsidRDefault="00F31AEA" w:rsidP="00F31AEA">
      <w:pPr>
        <w:pStyle w:val="Standard"/>
        <w:ind w:firstLine="708"/>
        <w:rPr>
          <w:rFonts w:cs="Arial"/>
        </w:rPr>
      </w:pPr>
    </w:p>
    <w:p w14:paraId="0DCD9960" w14:textId="4BA1825D" w:rsidR="00F31AEA" w:rsidRPr="00F31AEA" w:rsidRDefault="00F31AEA" w:rsidP="00F31AEA">
      <w:pPr>
        <w:pStyle w:val="Nagwek1"/>
        <w:rPr>
          <w:rFonts w:ascii="Arial" w:hAnsi="Arial" w:cs="Arial"/>
          <w:szCs w:val="24"/>
        </w:rPr>
      </w:pPr>
      <w:bookmarkStart w:id="3" w:name="__RefHeading__627_408857855"/>
      <w:bookmarkStart w:id="4" w:name="_Toc167754595"/>
      <w:bookmarkStart w:id="5" w:name="_Toc187103134"/>
      <w:bookmarkStart w:id="6" w:name="_Toc188018750"/>
      <w:bookmarkStart w:id="7" w:name="_Toc189399205"/>
      <w:bookmarkStart w:id="8" w:name="_Toc189829066"/>
      <w:bookmarkStart w:id="9" w:name="_Toc190043308"/>
      <w:bookmarkStart w:id="10" w:name="Bookmark"/>
      <w:bookmarkStart w:id="11" w:name="_Toc191067808"/>
      <w:r>
        <w:rPr>
          <w:rFonts w:ascii="Arial" w:hAnsi="Arial" w:cs="Arial"/>
          <w:szCs w:val="24"/>
        </w:rPr>
        <w:lastRenderedPageBreak/>
        <w:t>WSTĘP.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3819FAA" w14:textId="5529C053" w:rsidR="00F31AEA" w:rsidRDefault="00F31AEA" w:rsidP="00F31AEA">
      <w:pPr>
        <w:pStyle w:val="Nagwek2"/>
        <w:rPr>
          <w:rFonts w:ascii="Arial" w:hAnsi="Arial" w:cs="Arial"/>
          <w:szCs w:val="24"/>
        </w:rPr>
      </w:pPr>
      <w:bookmarkStart w:id="12" w:name="Bookmark1"/>
      <w:bookmarkStart w:id="13" w:name="__RefHeading__629_408857855"/>
      <w:bookmarkStart w:id="14" w:name="_Toc167754596"/>
      <w:bookmarkStart w:id="15" w:name="_Toc187103135"/>
      <w:bookmarkStart w:id="16" w:name="_Toc188018751"/>
      <w:bookmarkStart w:id="17" w:name="_Toc189399206"/>
      <w:bookmarkStart w:id="18" w:name="_Toc189829067"/>
      <w:bookmarkStart w:id="19" w:name="_Toc190043309"/>
      <w:bookmarkStart w:id="20" w:name="_Toc191067809"/>
      <w:r>
        <w:rPr>
          <w:rFonts w:ascii="Arial" w:hAnsi="Arial" w:cs="Arial"/>
          <w:szCs w:val="24"/>
        </w:rPr>
        <w:t>Rodzaj projektu.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ED7018B" w14:textId="02D6334A" w:rsidR="00F31AEA" w:rsidRDefault="00F31AEA" w:rsidP="00F31AEA">
      <w:pPr>
        <w:pStyle w:val="Tekstprzypisudolnego"/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360" w:lineRule="auto"/>
        <w:ind w:firstLine="397"/>
        <w:jc w:val="both"/>
        <w:rPr>
          <w:rFonts w:cs="Arial"/>
          <w:bCs/>
        </w:rPr>
      </w:pPr>
      <w:r>
        <w:rPr>
          <w:rFonts w:cs="Arial"/>
          <w:bCs/>
        </w:rPr>
        <w:t>Niniejsze opracowanie obejmuje instalacje elektryczne aranżacji lokalu nr 0.01 w obiekcie handlowym przy ul. Warszawskiej 180 w Bielsku-Białej.</w:t>
      </w:r>
    </w:p>
    <w:p w14:paraId="59630198" w14:textId="3DC41322" w:rsidR="00F31AEA" w:rsidRDefault="00F31AEA" w:rsidP="00F31AEA">
      <w:pPr>
        <w:pStyle w:val="Nagwek2"/>
        <w:rPr>
          <w:rFonts w:ascii="Arial" w:hAnsi="Arial" w:cs="Arial"/>
          <w:szCs w:val="24"/>
        </w:rPr>
      </w:pPr>
      <w:bookmarkStart w:id="21" w:name="Bookmark2"/>
      <w:bookmarkStart w:id="22" w:name="__RefHeading__631_408857855"/>
      <w:bookmarkStart w:id="23" w:name="_Toc167754597"/>
      <w:bookmarkStart w:id="24" w:name="_Toc187103136"/>
      <w:bookmarkStart w:id="25" w:name="_Toc188018752"/>
      <w:bookmarkStart w:id="26" w:name="_Toc189399207"/>
      <w:bookmarkStart w:id="27" w:name="_Toc189829068"/>
      <w:bookmarkStart w:id="28" w:name="_Toc190043310"/>
      <w:bookmarkStart w:id="29" w:name="_Toc191067810"/>
      <w:r>
        <w:rPr>
          <w:rFonts w:ascii="Arial" w:hAnsi="Arial" w:cs="Arial"/>
          <w:szCs w:val="24"/>
        </w:rPr>
        <w:t>Podstawa opracowania.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464104BA" w14:textId="77777777" w:rsidR="00F31AEA" w:rsidRDefault="00F31AEA" w:rsidP="00F31AEA">
      <w:pPr>
        <w:pStyle w:val="Standard"/>
        <w:ind w:firstLine="397"/>
        <w:jc w:val="both"/>
        <w:rPr>
          <w:rFonts w:cs="Arial"/>
          <w:szCs w:val="20"/>
        </w:rPr>
      </w:pPr>
      <w:r>
        <w:rPr>
          <w:rFonts w:cs="Arial"/>
          <w:szCs w:val="20"/>
        </w:rPr>
        <w:t>1. Zlecenie</w:t>
      </w:r>
    </w:p>
    <w:p w14:paraId="475F2B9C" w14:textId="77777777" w:rsidR="00F31AEA" w:rsidRDefault="00F31AEA" w:rsidP="00F31AEA">
      <w:pPr>
        <w:pStyle w:val="Standard"/>
        <w:ind w:firstLine="397"/>
        <w:jc w:val="both"/>
        <w:rPr>
          <w:rFonts w:cs="Arial"/>
          <w:szCs w:val="20"/>
        </w:rPr>
      </w:pPr>
      <w:r>
        <w:rPr>
          <w:rFonts w:cs="Arial"/>
          <w:szCs w:val="20"/>
        </w:rPr>
        <w:t>2. Uzgodnienia i wytyczne międzybranżowe</w:t>
      </w:r>
    </w:p>
    <w:p w14:paraId="2918E9EC" w14:textId="77777777" w:rsidR="00F31AEA" w:rsidRDefault="00F31AEA" w:rsidP="00F31AEA">
      <w:pPr>
        <w:pStyle w:val="Standard"/>
        <w:ind w:firstLine="397"/>
        <w:jc w:val="both"/>
        <w:rPr>
          <w:rFonts w:cs="Arial"/>
          <w:szCs w:val="20"/>
        </w:rPr>
      </w:pPr>
      <w:r>
        <w:rPr>
          <w:rFonts w:cs="Arial"/>
          <w:szCs w:val="20"/>
        </w:rPr>
        <w:t>3. Aktualne przepisy i normy</w:t>
      </w:r>
    </w:p>
    <w:p w14:paraId="3BD2CBF1" w14:textId="083161F8" w:rsidR="00F31AEA" w:rsidRDefault="00F31AEA" w:rsidP="00F31AEA">
      <w:pPr>
        <w:pStyle w:val="Nagwek2"/>
        <w:rPr>
          <w:rFonts w:ascii="Arial" w:hAnsi="Arial" w:cs="Arial"/>
          <w:szCs w:val="24"/>
        </w:rPr>
      </w:pPr>
      <w:bookmarkStart w:id="30" w:name="Bookmark3"/>
      <w:bookmarkStart w:id="31" w:name="__RefHeading__633_408857855"/>
      <w:bookmarkStart w:id="32" w:name="_Toc167754598"/>
      <w:bookmarkStart w:id="33" w:name="_Toc187103137"/>
      <w:bookmarkStart w:id="34" w:name="_Toc188018753"/>
      <w:bookmarkStart w:id="35" w:name="_Toc189399208"/>
      <w:bookmarkStart w:id="36" w:name="_Toc189829069"/>
      <w:bookmarkStart w:id="37" w:name="_Toc190043311"/>
      <w:bookmarkStart w:id="38" w:name="_Toc191067811"/>
      <w:r>
        <w:rPr>
          <w:rFonts w:ascii="Arial" w:hAnsi="Arial" w:cs="Arial"/>
          <w:szCs w:val="24"/>
        </w:rPr>
        <w:t>Zakres opracowania.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0E6A1C9" w14:textId="77777777" w:rsidR="00F31AEA" w:rsidRDefault="00F31AEA" w:rsidP="00F31AEA">
      <w:pPr>
        <w:pStyle w:val="Standard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2"/>
        </w:tabs>
        <w:ind w:firstLine="397"/>
        <w:jc w:val="both"/>
        <w:rPr>
          <w:rFonts w:cs="Arial"/>
          <w:szCs w:val="20"/>
        </w:rPr>
      </w:pPr>
      <w:r>
        <w:rPr>
          <w:rFonts w:cs="Arial"/>
          <w:szCs w:val="20"/>
        </w:rPr>
        <w:t>Projekt obejmuje swoim zakresem następujące urządzenia i instalacje</w:t>
      </w:r>
    </w:p>
    <w:p w14:paraId="4AD96F90" w14:textId="6345A27A" w:rsidR="00F31AEA" w:rsidRDefault="00F31AEA" w:rsidP="00F31AEA">
      <w:pPr>
        <w:pStyle w:val="Standard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2"/>
        </w:tabs>
        <w:ind w:firstLine="397"/>
        <w:jc w:val="both"/>
        <w:rPr>
          <w:rFonts w:cs="Arial"/>
          <w:szCs w:val="20"/>
        </w:rPr>
      </w:pPr>
      <w:r>
        <w:rPr>
          <w:rFonts w:cs="Arial"/>
          <w:szCs w:val="20"/>
        </w:rPr>
        <w:t>- rozdzielnice elektryczną;</w:t>
      </w:r>
    </w:p>
    <w:p w14:paraId="329EC3CB" w14:textId="77777777" w:rsidR="00F31AEA" w:rsidRDefault="00F31AEA" w:rsidP="00F31AEA">
      <w:pPr>
        <w:pStyle w:val="Standard"/>
        <w:tabs>
          <w:tab w:val="left" w:pos="681"/>
          <w:tab w:val="left" w:pos="964"/>
          <w:tab w:val="left" w:pos="1248"/>
          <w:tab w:val="left" w:pos="1531"/>
          <w:tab w:val="left" w:pos="1815"/>
          <w:tab w:val="left" w:pos="2099"/>
        </w:tabs>
        <w:ind w:left="397"/>
        <w:jc w:val="both"/>
        <w:rPr>
          <w:rFonts w:cs="Arial"/>
          <w:szCs w:val="20"/>
        </w:rPr>
      </w:pPr>
      <w:r>
        <w:rPr>
          <w:rFonts w:cs="Arial"/>
          <w:szCs w:val="20"/>
        </w:rPr>
        <w:t>- instalację oświetlenia podstawowego</w:t>
      </w:r>
    </w:p>
    <w:p w14:paraId="0FCA17DE" w14:textId="77777777" w:rsidR="00F31AEA" w:rsidRDefault="00F31AEA" w:rsidP="00F31AEA">
      <w:pPr>
        <w:pStyle w:val="Standard"/>
        <w:tabs>
          <w:tab w:val="left" w:pos="681"/>
          <w:tab w:val="left" w:pos="964"/>
          <w:tab w:val="left" w:pos="1248"/>
          <w:tab w:val="left" w:pos="1531"/>
          <w:tab w:val="left" w:pos="1815"/>
          <w:tab w:val="left" w:pos="2099"/>
        </w:tabs>
        <w:ind w:left="397"/>
        <w:jc w:val="both"/>
        <w:rPr>
          <w:rFonts w:cs="Arial"/>
          <w:szCs w:val="20"/>
        </w:rPr>
      </w:pPr>
      <w:r>
        <w:rPr>
          <w:rFonts w:cs="Arial"/>
          <w:szCs w:val="20"/>
        </w:rPr>
        <w:t>- instalację oświetlenia awaryjnego oraz ewakuacyjnego</w:t>
      </w:r>
    </w:p>
    <w:p w14:paraId="5702604F" w14:textId="77777777" w:rsidR="00F31AEA" w:rsidRDefault="00F31AEA" w:rsidP="00F31AEA">
      <w:pPr>
        <w:pStyle w:val="Standard"/>
        <w:tabs>
          <w:tab w:val="left" w:pos="681"/>
          <w:tab w:val="left" w:pos="964"/>
          <w:tab w:val="left" w:pos="1248"/>
          <w:tab w:val="left" w:pos="1531"/>
          <w:tab w:val="left" w:pos="1815"/>
          <w:tab w:val="left" w:pos="2099"/>
        </w:tabs>
        <w:ind w:left="397"/>
        <w:jc w:val="both"/>
        <w:rPr>
          <w:rFonts w:cs="Arial"/>
          <w:szCs w:val="20"/>
        </w:rPr>
      </w:pPr>
      <w:r>
        <w:rPr>
          <w:rFonts w:cs="Arial"/>
          <w:szCs w:val="20"/>
        </w:rPr>
        <w:t>- instalację gniazd wtyczkowych i zasilania urządzeń;</w:t>
      </w:r>
    </w:p>
    <w:p w14:paraId="1135AD8A" w14:textId="77777777" w:rsidR="00F31AEA" w:rsidRDefault="00F31AEA" w:rsidP="00F31AEA">
      <w:pPr>
        <w:pStyle w:val="Standard"/>
        <w:tabs>
          <w:tab w:val="left" w:pos="681"/>
          <w:tab w:val="left" w:pos="964"/>
          <w:tab w:val="left" w:pos="1248"/>
          <w:tab w:val="left" w:pos="1531"/>
          <w:tab w:val="left" w:pos="1815"/>
          <w:tab w:val="left" w:pos="2099"/>
        </w:tabs>
        <w:ind w:left="397"/>
        <w:jc w:val="both"/>
        <w:rPr>
          <w:rFonts w:cs="Arial"/>
          <w:szCs w:val="20"/>
        </w:rPr>
      </w:pPr>
      <w:r>
        <w:rPr>
          <w:rFonts w:cs="Arial"/>
          <w:szCs w:val="20"/>
        </w:rPr>
        <w:t>- ochronę przeciwporażeniową;</w:t>
      </w:r>
    </w:p>
    <w:p w14:paraId="534F3DC1" w14:textId="77777777" w:rsidR="00F31AEA" w:rsidRDefault="00F31AEA" w:rsidP="00F31AEA">
      <w:pPr>
        <w:pStyle w:val="Standard"/>
        <w:tabs>
          <w:tab w:val="left" w:pos="681"/>
          <w:tab w:val="left" w:pos="964"/>
          <w:tab w:val="left" w:pos="1248"/>
          <w:tab w:val="left" w:pos="1531"/>
          <w:tab w:val="left" w:pos="1815"/>
          <w:tab w:val="left" w:pos="2099"/>
        </w:tabs>
        <w:ind w:left="397"/>
        <w:jc w:val="both"/>
        <w:rPr>
          <w:rFonts w:cs="Arial"/>
          <w:szCs w:val="20"/>
        </w:rPr>
      </w:pPr>
      <w:r>
        <w:rPr>
          <w:rFonts w:cs="Arial"/>
          <w:szCs w:val="20"/>
        </w:rPr>
        <w:t>- ochronę przeciwprzepięciową;</w:t>
      </w:r>
    </w:p>
    <w:p w14:paraId="2200FEEA" w14:textId="77777777" w:rsidR="00F31AEA" w:rsidRDefault="00F31AEA" w:rsidP="00F31AEA">
      <w:pPr>
        <w:pStyle w:val="Standard"/>
        <w:tabs>
          <w:tab w:val="left" w:pos="681"/>
          <w:tab w:val="left" w:pos="964"/>
          <w:tab w:val="left" w:pos="1248"/>
          <w:tab w:val="left" w:pos="1531"/>
          <w:tab w:val="left" w:pos="1815"/>
          <w:tab w:val="left" w:pos="2099"/>
        </w:tabs>
        <w:ind w:left="397"/>
        <w:jc w:val="both"/>
        <w:rPr>
          <w:rFonts w:cs="Arial"/>
          <w:szCs w:val="20"/>
        </w:rPr>
      </w:pPr>
      <w:r>
        <w:rPr>
          <w:rFonts w:cs="Arial"/>
          <w:szCs w:val="20"/>
        </w:rPr>
        <w:t>- połączenia wyrównawcze;</w:t>
      </w:r>
    </w:p>
    <w:p w14:paraId="5C7B418E" w14:textId="6988164C" w:rsidR="00F31AEA" w:rsidRDefault="00F31AEA" w:rsidP="00F31AEA">
      <w:pPr>
        <w:pStyle w:val="Nagwek1"/>
        <w:rPr>
          <w:rFonts w:ascii="Arial" w:hAnsi="Arial" w:cs="Arial"/>
          <w:szCs w:val="24"/>
        </w:rPr>
      </w:pPr>
      <w:bookmarkStart w:id="39" w:name="Bookmark4"/>
      <w:bookmarkStart w:id="40" w:name="__RefHeading__635_408857855"/>
      <w:bookmarkStart w:id="41" w:name="_Toc167754599"/>
      <w:bookmarkStart w:id="42" w:name="_Toc187103138"/>
      <w:bookmarkStart w:id="43" w:name="_Toc188018754"/>
      <w:bookmarkStart w:id="44" w:name="_Toc189399209"/>
      <w:bookmarkStart w:id="45" w:name="_Toc189829070"/>
      <w:bookmarkStart w:id="46" w:name="_Toc190043312"/>
      <w:bookmarkStart w:id="47" w:name="_Toc191067812"/>
      <w:r>
        <w:rPr>
          <w:rFonts w:ascii="Arial" w:hAnsi="Arial" w:cs="Arial"/>
          <w:szCs w:val="24"/>
        </w:rPr>
        <w:t>INSTALACJE ELEKTRYCZNE.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7F8EC17E" w14:textId="24CC4C16" w:rsidR="00F31AEA" w:rsidRDefault="00F31AEA" w:rsidP="00F31AEA">
      <w:pPr>
        <w:pStyle w:val="Nagwek2"/>
        <w:rPr>
          <w:rFonts w:ascii="Arial" w:hAnsi="Arial" w:cs="Arial"/>
          <w:szCs w:val="24"/>
        </w:rPr>
      </w:pPr>
      <w:bookmarkStart w:id="48" w:name="Bookmark5"/>
      <w:bookmarkStart w:id="49" w:name="__RefHeading__637_408857855"/>
      <w:bookmarkStart w:id="50" w:name="_Toc167754600"/>
      <w:bookmarkStart w:id="51" w:name="_Toc187103139"/>
      <w:bookmarkStart w:id="52" w:name="_Toc188018755"/>
      <w:bookmarkStart w:id="53" w:name="_Toc189399210"/>
      <w:bookmarkStart w:id="54" w:name="_Toc189829071"/>
      <w:bookmarkStart w:id="55" w:name="_Toc190043313"/>
      <w:bookmarkStart w:id="56" w:name="_Toc191067813"/>
      <w:r>
        <w:rPr>
          <w:rFonts w:ascii="Arial" w:hAnsi="Arial" w:cs="Arial"/>
          <w:szCs w:val="24"/>
        </w:rPr>
        <w:t>Zasilanie.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22A207F8" w14:textId="7A4FD4CA" w:rsidR="00F31AEA" w:rsidRDefault="00F31AEA" w:rsidP="00F31AEA">
      <w:pPr>
        <w:pStyle w:val="Standard"/>
        <w:ind w:firstLine="708"/>
      </w:pPr>
      <w:r>
        <w:t xml:space="preserve">Zasilanie lokalu odbywać się będzie linią kablową WLZ z rozdzielnicy głównej galerii. WLZ nie objęty niniejszym opracowaniem.   </w:t>
      </w:r>
    </w:p>
    <w:p w14:paraId="3D187F0C" w14:textId="7A0C028A" w:rsidR="00F31AEA" w:rsidRDefault="00F31AEA" w:rsidP="00F31AEA">
      <w:pPr>
        <w:pStyle w:val="Nagwek2"/>
        <w:rPr>
          <w:rFonts w:ascii="Arial" w:hAnsi="Arial" w:cs="Arial"/>
          <w:szCs w:val="24"/>
        </w:rPr>
      </w:pPr>
      <w:bookmarkStart w:id="57" w:name="Bookmark9"/>
      <w:bookmarkStart w:id="58" w:name="__RefHeading__645_408857855"/>
      <w:bookmarkStart w:id="59" w:name="_Toc167754602"/>
      <w:bookmarkStart w:id="60" w:name="_Toc187103141"/>
      <w:bookmarkStart w:id="61" w:name="_Toc188018757"/>
      <w:bookmarkStart w:id="62" w:name="_Toc189399212"/>
      <w:bookmarkStart w:id="63" w:name="_Toc189829073"/>
      <w:bookmarkStart w:id="64" w:name="_Toc190043314"/>
      <w:bookmarkStart w:id="65" w:name="_Toc191067814"/>
      <w:r>
        <w:rPr>
          <w:rFonts w:ascii="Arial" w:hAnsi="Arial" w:cs="Arial"/>
          <w:szCs w:val="24"/>
        </w:rPr>
        <w:t>Ochrona przeciwporażeniowa.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6FCED3E9" w14:textId="5379E2AC" w:rsidR="00F31AEA" w:rsidRDefault="00F31AEA" w:rsidP="00F31AEA">
      <w:pPr>
        <w:pStyle w:val="Standard"/>
        <w:ind w:firstLine="708"/>
      </w:pPr>
      <w:r>
        <w:t xml:space="preserve">Instalacja pracować będzie w układzie TN-S. Przewód PE należy połączyć z uziemieniem budynku poprzez główną szyną uziemiającą GSU. Połączenie pomiędzy GSU a tablicą </w:t>
      </w:r>
      <w:r w:rsidR="00A20A53">
        <w:t>TB</w:t>
      </w:r>
      <w:r>
        <w:t xml:space="preserve"> wykonać przewodem </w:t>
      </w:r>
      <w:proofErr w:type="spellStart"/>
      <w:r>
        <w:t>LgYżo</w:t>
      </w:r>
      <w:proofErr w:type="spellEnd"/>
      <w:r>
        <w:t xml:space="preserve"> 16mm2 (lub o większym przekroju). Wszystkie urządzenia elektryczne powinny spełniać warunki ochrony podstawowej od porażeń prądem elektrycznym zgodnym z normą PN-HD 60364-4-41:2009. Jako dodatkową ochronę od porażeń zastosowano samoczynne wyłączenie zasilania, które winno być zapewnione w czasie maksymalnym 0,4 (0,2) sekundy.  </w:t>
      </w:r>
    </w:p>
    <w:p w14:paraId="6CA488B4" w14:textId="77777777" w:rsidR="00F31AEA" w:rsidRDefault="00F31AEA" w:rsidP="00F31AEA">
      <w:pPr>
        <w:pStyle w:val="Standard"/>
      </w:pPr>
      <w:r>
        <w:t>Samoczynne wyłączenie będzie zrealizowane za pośrednictwem:</w:t>
      </w:r>
    </w:p>
    <w:p w14:paraId="7F1D535A" w14:textId="77777777" w:rsidR="00F31AEA" w:rsidRDefault="00F31AEA" w:rsidP="00F31AEA">
      <w:pPr>
        <w:pStyle w:val="Standard"/>
      </w:pPr>
      <w:r>
        <w:t>- bezpieczników topikowych,</w:t>
      </w:r>
    </w:p>
    <w:p w14:paraId="2313AE8A" w14:textId="77777777" w:rsidR="00F31AEA" w:rsidRDefault="00F31AEA" w:rsidP="00F31AEA">
      <w:pPr>
        <w:pStyle w:val="Standard"/>
      </w:pPr>
      <w:r>
        <w:t>- wyłączników instalacyjnych nadmiarowo-prądowych,</w:t>
      </w:r>
    </w:p>
    <w:p w14:paraId="451BADF0" w14:textId="77777777" w:rsidR="00F31AEA" w:rsidRDefault="00F31AEA" w:rsidP="00F31AEA">
      <w:pPr>
        <w:pStyle w:val="Standard"/>
      </w:pPr>
      <w:r>
        <w:t>- wyłączników różnicowoprądowych.</w:t>
      </w:r>
    </w:p>
    <w:p w14:paraId="51ECA6CE" w14:textId="77777777" w:rsidR="00F31AEA" w:rsidRDefault="00F31AEA" w:rsidP="00F31AEA">
      <w:pPr>
        <w:pStyle w:val="Standard"/>
      </w:pPr>
      <w:r>
        <w:t>W przewodzie ochronnym PE nie wolno instalować bezpieczników i łączników. Styki ochronne gniazd wtyczkowych połączyć z przewodem ochronnym PE. W instalacji wykonać główne i miejscowe połączenia wyrównawcze. Po wykonaniu instalacji dokonać sprawdzenia odbiorczego instalacji zgodnie z normą PN-HD 60364-6:2008.</w:t>
      </w:r>
    </w:p>
    <w:p w14:paraId="7EC805C6" w14:textId="39CA542E" w:rsidR="00F31AEA" w:rsidRDefault="00F31AEA" w:rsidP="00F31AEA">
      <w:pPr>
        <w:pStyle w:val="Nagwek2"/>
        <w:rPr>
          <w:rFonts w:ascii="Arial" w:hAnsi="Arial" w:cs="Arial"/>
          <w:szCs w:val="24"/>
        </w:rPr>
      </w:pPr>
      <w:bookmarkStart w:id="66" w:name="Bookmark10"/>
      <w:bookmarkStart w:id="67" w:name="__RefHeading__647_408857855"/>
      <w:bookmarkStart w:id="68" w:name="_Toc167754603"/>
      <w:bookmarkStart w:id="69" w:name="_Toc187103142"/>
      <w:bookmarkStart w:id="70" w:name="_Toc188018758"/>
      <w:bookmarkStart w:id="71" w:name="_Toc189399213"/>
      <w:bookmarkStart w:id="72" w:name="_Toc189829074"/>
      <w:bookmarkStart w:id="73" w:name="_Toc190043315"/>
      <w:bookmarkStart w:id="74" w:name="_Toc191067815"/>
      <w:r>
        <w:rPr>
          <w:rFonts w:ascii="Arial" w:hAnsi="Arial" w:cs="Arial"/>
          <w:szCs w:val="24"/>
        </w:rPr>
        <w:lastRenderedPageBreak/>
        <w:t>Instalacja oświetlenia podstawowego.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5A926E12" w14:textId="2A93BD11" w:rsidR="00F31AEA" w:rsidRDefault="00F31AEA" w:rsidP="00F31AEA">
      <w:pPr>
        <w:pStyle w:val="Standard"/>
        <w:ind w:firstLine="708"/>
      </w:pPr>
      <w:r>
        <w:t>Dla Instalacji oświetlenia podstawowego zaprojektowano oświetlenie  w oparciu o oprawy w technologii LED. Minimalne średnie natężenia oświetlenia przyjęto zgodnie z normą PN-EN 12464-1</w:t>
      </w:r>
      <w:r w:rsidR="00A20A53">
        <w:t xml:space="preserve">. Na Sali sprzedaży zamontowane zostaną oprawy </w:t>
      </w:r>
      <w:proofErr w:type="spellStart"/>
      <w:r w:rsidR="00A20A53">
        <w:t>mBELLA</w:t>
      </w:r>
      <w:proofErr w:type="spellEnd"/>
      <w:r w:rsidR="00A20A53">
        <w:t xml:space="preserve"> montowane w systemie szynoprzewodowym. Ponadto zaprojektowano wypusty oświetleniowe do montażu opraw w ramach aranżacji na sali sprzedaży w WC oraz na zapleczu. Na zapleczu oraz w WC należy zachować średnie natężenie oświetlenia powyżej 200lx. </w:t>
      </w:r>
    </w:p>
    <w:p w14:paraId="1C624CC7" w14:textId="77777777" w:rsidR="00A20A53" w:rsidRDefault="00F31AEA" w:rsidP="00F31AEA">
      <w:pPr>
        <w:pStyle w:val="Standard"/>
      </w:pPr>
      <w:r>
        <w:t>Sterowanie oświetleniem odbywać się będzie przy pomocy łączników</w:t>
      </w:r>
      <w:r w:rsidR="00A20A53">
        <w:t xml:space="preserve"> oświetleniowych. Sterowanie oświetleniem Sali sprzedaży zaprojektowano z zaplecza. </w:t>
      </w:r>
      <w:r>
        <w:t>Sterowanie oświetleniem</w:t>
      </w:r>
      <w:r w:rsidR="00A20A53">
        <w:t xml:space="preserve"> LOGO</w:t>
      </w:r>
      <w:r>
        <w:t xml:space="preserve"> na zewnątrz zaprojektowano w oparciu o zegar astronomiczny programowalny. </w:t>
      </w:r>
    </w:p>
    <w:p w14:paraId="0A55824A" w14:textId="58828C8D" w:rsidR="00F31AEA" w:rsidRDefault="00F31AEA" w:rsidP="00F31AEA">
      <w:pPr>
        <w:pStyle w:val="Standard"/>
      </w:pPr>
      <w:r>
        <w:t>Łączniki oświetlenia instalować poziomo na wysokościach: 1,20m lub wg uzgodnienia z Inwestorem</w:t>
      </w:r>
      <w:r w:rsidR="00A20A53">
        <w:t>/Architektem</w:t>
      </w:r>
      <w:r>
        <w:t>, mierzonych od powierzchni wykończonej podłogi do środka łącznika.</w:t>
      </w:r>
    </w:p>
    <w:p w14:paraId="39D4ACB2" w14:textId="220C3FDB" w:rsidR="00F31AEA" w:rsidRDefault="00F31AEA" w:rsidP="00F31AEA">
      <w:pPr>
        <w:pStyle w:val="Nagwek2"/>
        <w:rPr>
          <w:rFonts w:ascii="Arial" w:hAnsi="Arial" w:cs="Arial"/>
          <w:szCs w:val="24"/>
        </w:rPr>
      </w:pPr>
      <w:bookmarkStart w:id="75" w:name="Bookmark11"/>
      <w:bookmarkStart w:id="76" w:name="__RefHeading__649_408857855"/>
      <w:bookmarkStart w:id="77" w:name="_Toc167754604"/>
      <w:bookmarkStart w:id="78" w:name="_Toc187103143"/>
      <w:bookmarkStart w:id="79" w:name="_Toc188018759"/>
      <w:bookmarkStart w:id="80" w:name="_Toc189399214"/>
      <w:bookmarkStart w:id="81" w:name="_Toc189829075"/>
      <w:bookmarkStart w:id="82" w:name="_Toc190043316"/>
      <w:bookmarkStart w:id="83" w:name="_Toc191067816"/>
      <w:r>
        <w:rPr>
          <w:rFonts w:ascii="Arial" w:hAnsi="Arial" w:cs="Arial"/>
          <w:szCs w:val="24"/>
        </w:rPr>
        <w:t>Instalacja oświetlenia awaryjnego.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EF1EC07" w14:textId="38442E8A" w:rsidR="00F31AEA" w:rsidRDefault="00F31AEA" w:rsidP="00F31AEA">
      <w:pPr>
        <w:pStyle w:val="Standard"/>
      </w:pPr>
      <w:r>
        <w:tab/>
        <w:t xml:space="preserve">Obiekt wyposażyć w instalację oświetlenia awaryjnego/ewakuacyjnego LED firmy </w:t>
      </w:r>
      <w:r w:rsidR="00A20A53">
        <w:t>TM Technologie</w:t>
      </w:r>
      <w:r>
        <w:t xml:space="preserve">. Czas podtrzymania zasilania wynosi 1h – w systemie rozproszonym z autonomicznymi źródłami zasilania (bateria akumulatorowa) z kontrolą stanu modułów - </w:t>
      </w:r>
      <w:proofErr w:type="spellStart"/>
      <w:r>
        <w:t>autotest</w:t>
      </w:r>
      <w:proofErr w:type="spellEnd"/>
      <w:r>
        <w:t>.</w:t>
      </w:r>
    </w:p>
    <w:p w14:paraId="11F88756" w14:textId="77777777" w:rsidR="00F31AEA" w:rsidRDefault="00F31AEA" w:rsidP="00F31AEA">
      <w:pPr>
        <w:pStyle w:val="Standard"/>
      </w:pPr>
      <w:r>
        <w:t>Oprawy oświetlenia ewakuacyjnego wyposażyć w elektroniczne układy zapłonowe spełniające wymagania normy PN-EN 61347-2-7.</w:t>
      </w:r>
    </w:p>
    <w:p w14:paraId="066CA9F7" w14:textId="4BA61019" w:rsidR="00F31AEA" w:rsidRDefault="00F31AEA" w:rsidP="00F31AEA">
      <w:pPr>
        <w:pStyle w:val="Standard"/>
      </w:pPr>
      <w:r>
        <w:t>Dla zapewnienia odpowiedniego natężenia oświetlenia, oprawy oświetleniowe do oświetlenia ewakuacyjnego, zgodnie z EN 60598-2-22, należy usytuować w po</w:t>
      </w:r>
      <w:r w:rsidR="00A20A53">
        <w:t>bliżu każdych drzwi wyjściowych.</w:t>
      </w:r>
    </w:p>
    <w:p w14:paraId="11C1134B" w14:textId="77777777" w:rsidR="00F31AEA" w:rsidRDefault="00F31AEA" w:rsidP="00F31AEA">
      <w:pPr>
        <w:pStyle w:val="Standard"/>
      </w:pPr>
      <w:r>
        <w:t>Jeśli punkty pierwszej pomocy lub urządzenia przeciwpożarowe i przyciski alarmowe nie znajdują się na drodze ewakuacyjnej ani w strefie otwartej, to powinny być tak oświetlone, aby natężenie oświetlenia na podłodze w ich pobliżu wynosiło co najmniej 5 lx</w:t>
      </w:r>
    </w:p>
    <w:p w14:paraId="370DDE51" w14:textId="77777777" w:rsidR="00F31AEA" w:rsidRDefault="00F31AEA" w:rsidP="00F31AEA">
      <w:pPr>
        <w:pStyle w:val="Standard"/>
      </w:pPr>
      <w:r>
        <w:t>Średnie natężenie oświetlenia na podłodze wzdłuż środkowej linii drogi ewakuacyjnej powinno być nie mniejsze niż 1lx,</w:t>
      </w:r>
    </w:p>
    <w:p w14:paraId="2A169A80" w14:textId="77777777" w:rsidR="00F31AEA" w:rsidRDefault="00F31AEA" w:rsidP="00F31AEA">
      <w:pPr>
        <w:pStyle w:val="Standard"/>
      </w:pPr>
      <w:r>
        <w:t>Obok oświetlenia dróg ewakuacji przewiduje się także podświetlane znaki ewakuacyjne.</w:t>
      </w:r>
    </w:p>
    <w:p w14:paraId="4031E882" w14:textId="77777777" w:rsidR="00F31AEA" w:rsidRDefault="00F31AEA" w:rsidP="00F31AEA">
      <w:pPr>
        <w:pStyle w:val="Standard"/>
      </w:pPr>
      <w:r>
        <w:t>Wszystkie oprawy awaryjne (ewakuacyjne) musza spełniać wymogi normy PN-EN 60598-2-22 oraz posiadać świadectwo dopuszczenia CNBOP-PIB.</w:t>
      </w:r>
    </w:p>
    <w:p w14:paraId="55B18C0E" w14:textId="77777777" w:rsidR="00F31AEA" w:rsidRDefault="00F31AEA" w:rsidP="00F31AEA">
      <w:pPr>
        <w:pStyle w:val="Standard"/>
      </w:pPr>
      <w:r>
        <w:t>Szczegóły rozmieszczenia opraw przedstawiono na planach.</w:t>
      </w:r>
    </w:p>
    <w:p w14:paraId="1756E435" w14:textId="4AFA718D" w:rsidR="00F31AEA" w:rsidRDefault="00F31AEA" w:rsidP="00F31AEA">
      <w:pPr>
        <w:pStyle w:val="Nagwek2"/>
        <w:rPr>
          <w:rFonts w:ascii="Arial" w:hAnsi="Arial" w:cs="Arial"/>
          <w:szCs w:val="24"/>
        </w:rPr>
      </w:pPr>
      <w:bookmarkStart w:id="84" w:name="Bookmark12"/>
      <w:bookmarkStart w:id="85" w:name="__RefHeading__651_408857855"/>
      <w:bookmarkStart w:id="86" w:name="_Toc167754605"/>
      <w:bookmarkStart w:id="87" w:name="_Toc187103144"/>
      <w:bookmarkStart w:id="88" w:name="_Toc188018760"/>
      <w:bookmarkStart w:id="89" w:name="_Toc189399215"/>
      <w:bookmarkStart w:id="90" w:name="_Toc189829076"/>
      <w:bookmarkStart w:id="91" w:name="_Toc190043317"/>
      <w:bookmarkStart w:id="92" w:name="_Toc191067817"/>
      <w:r>
        <w:rPr>
          <w:rFonts w:ascii="Arial" w:hAnsi="Arial" w:cs="Arial"/>
          <w:szCs w:val="24"/>
        </w:rPr>
        <w:t>Układanie przewodów i kabli.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7B7D870A" w14:textId="608714A4" w:rsidR="00F31AEA" w:rsidRDefault="00F31AEA" w:rsidP="00F31AEA">
      <w:pPr>
        <w:pStyle w:val="Standard"/>
        <w:ind w:firstLine="708"/>
      </w:pPr>
      <w:r>
        <w:t>Projektuje się prowadzenie przewodów i kabli w otwartych, metalowych korytkach kablowych podwieszonych do sufitu</w:t>
      </w:r>
      <w:r w:rsidR="00A20A53">
        <w:t xml:space="preserve"> oraz rurkach typu RL</w:t>
      </w:r>
      <w:r>
        <w:t>. Odcinki przewodów i kabli układane w miejscach narażonych na uszkodzenia mechaniczne prowadzić</w:t>
      </w:r>
      <w:r w:rsidR="00A20A53">
        <w:t xml:space="preserve"> bezwzględnie</w:t>
      </w:r>
      <w:r>
        <w:t xml:space="preserve"> w rurach ochronnych. Zbiorcze trasy przewodów i kabli prowadzić oddzielnie dla przewodów elektroenergetycznych i przewodów teleinformatycznych jeżeli będą. Dopuszcza się również układanie przewodów w rurkach typu </w:t>
      </w:r>
      <w:proofErr w:type="spellStart"/>
      <w:r>
        <w:t>peszel</w:t>
      </w:r>
      <w:proofErr w:type="spellEnd"/>
      <w:r>
        <w:t xml:space="preserve"> pod posadzką. </w:t>
      </w:r>
      <w:proofErr w:type="spellStart"/>
      <w:r>
        <w:t>Peszle</w:t>
      </w:r>
      <w:proofErr w:type="spellEnd"/>
      <w:r>
        <w:t xml:space="preserve"> stosować o wytrzymałości na ściskanie nie mniejszej niż 750N.</w:t>
      </w:r>
    </w:p>
    <w:p w14:paraId="19B276E8" w14:textId="77777777" w:rsidR="00F31AEA" w:rsidRDefault="00F31AEA" w:rsidP="00F31AEA">
      <w:pPr>
        <w:pStyle w:val="Standard"/>
      </w:pPr>
      <w:r>
        <w:tab/>
      </w:r>
      <w:r>
        <w:rPr>
          <w:b/>
          <w:bCs/>
        </w:rPr>
        <w:t>Przepusty przewodów pomiędzy strefami pożarowymi uszczelnić pożarowo o odporności ogniowej równej odporności ogniowej oddzielenia.</w:t>
      </w:r>
    </w:p>
    <w:p w14:paraId="6E8867E3" w14:textId="77777777" w:rsidR="00F31AEA" w:rsidRDefault="00F31AEA" w:rsidP="00F31AEA">
      <w:pPr>
        <w:pStyle w:val="Standard"/>
      </w:pPr>
      <w:r>
        <w:tab/>
        <w:t>Mocowanie korytek wykonać wyłącznie przy pomocy elementów systemowych. Przewody instalacji słaboprądowych układać w osobnych rurkach, kanałach lub korytkach kablowych.</w:t>
      </w:r>
    </w:p>
    <w:p w14:paraId="020665DB" w14:textId="77777777" w:rsidR="00F31AEA" w:rsidRDefault="00F31AEA" w:rsidP="00F31AEA">
      <w:pPr>
        <w:pStyle w:val="Standard"/>
      </w:pPr>
      <w:r>
        <w:lastRenderedPageBreak/>
        <w:t xml:space="preserve">Łączenie przewodów dopuszczalne jest jedynie w puszkach łączeniowych. Do łączenia przewodów należy stosować złączki sprężynowe </w:t>
      </w:r>
      <w:proofErr w:type="spellStart"/>
      <w:r>
        <w:t>np</w:t>
      </w:r>
      <w:proofErr w:type="spellEnd"/>
      <w:r>
        <w:t>: typu Wago.</w:t>
      </w:r>
    </w:p>
    <w:p w14:paraId="4A7E35BC" w14:textId="77777777" w:rsidR="00F31AEA" w:rsidRDefault="00F31AEA" w:rsidP="00F31AEA">
      <w:pPr>
        <w:pStyle w:val="Standard"/>
      </w:pPr>
      <w:r>
        <w:t>Wszystkie instalacje wykonywać zgodnie z normą N SEP-E-002 i jej wytycznymi.</w:t>
      </w:r>
    </w:p>
    <w:p w14:paraId="3C22F13E" w14:textId="3E09B4E9" w:rsidR="00F31AEA" w:rsidRDefault="00F31AEA" w:rsidP="00F31AEA">
      <w:pPr>
        <w:pStyle w:val="Nagwek2"/>
        <w:rPr>
          <w:rFonts w:ascii="Arial" w:hAnsi="Arial" w:cs="Arial"/>
          <w:szCs w:val="24"/>
        </w:rPr>
      </w:pPr>
      <w:bookmarkStart w:id="93" w:name="Bookmark14"/>
      <w:bookmarkStart w:id="94" w:name="__RefHeading__655_408857855"/>
      <w:bookmarkStart w:id="95" w:name="_Toc167754607"/>
      <w:bookmarkStart w:id="96" w:name="_Toc187103148"/>
      <w:bookmarkStart w:id="97" w:name="_Toc188018764"/>
      <w:bookmarkStart w:id="98" w:name="_Toc189399219"/>
      <w:bookmarkStart w:id="99" w:name="_Toc189829079"/>
      <w:bookmarkStart w:id="100" w:name="_Toc190043320"/>
      <w:bookmarkStart w:id="101" w:name="_Toc191067818"/>
      <w:r>
        <w:rPr>
          <w:rFonts w:ascii="Arial" w:hAnsi="Arial" w:cs="Arial"/>
          <w:szCs w:val="24"/>
        </w:rPr>
        <w:t>Dobór kabli i przewodów.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238D9A49" w14:textId="77777777" w:rsidR="00F31AEA" w:rsidRDefault="00F31AEA" w:rsidP="00F31AEA">
      <w:pPr>
        <w:pStyle w:val="Standard"/>
        <w:ind w:firstLine="708"/>
      </w:pPr>
      <w:r>
        <w:t>Zgodnie z norma „PN-IEC 60364-5-523:2001 Instalacje elektryczne w obiektach budowlanych. Dobór i montaż wyposażenia elektrycznego. Obciążalność prądowa długotrwała”, kable dobiera się do obciążeń tak, aby przepływający przez nie prąd nie powodował przekraczania w żadnej części przewodu lub kabla dopuszczalnych dla nich obciążalności ustalonych dla określonych warunków ułożenia, właściwości środowiska i rodzaju obciążenia.</w:t>
      </w:r>
    </w:p>
    <w:p w14:paraId="0A64B64B" w14:textId="77777777" w:rsidR="00F31AEA" w:rsidRDefault="00F31AEA" w:rsidP="00F31AEA">
      <w:pPr>
        <w:pStyle w:val="Standard"/>
      </w:pPr>
      <w:r>
        <w:t>Przy doborze przewodów i kabli do obciążeń prądem elektrycznym uwzględniono przewidywany przyrost tych obciążeń oraz wpływ na dopuszczalne obciążenia zmiany warunków ułożenia przy rozbudowie urządzeń.</w:t>
      </w:r>
    </w:p>
    <w:p w14:paraId="54B21191" w14:textId="77777777" w:rsidR="00F31AEA" w:rsidRDefault="00F31AEA" w:rsidP="00F31AEA">
      <w:pPr>
        <w:pStyle w:val="Standard"/>
      </w:pPr>
      <w:r>
        <w:tab/>
        <w:t>Przy doborze kabli uwzględniono:</w:t>
      </w:r>
    </w:p>
    <w:p w14:paraId="4E58DBF7" w14:textId="77777777" w:rsidR="00F31AEA" w:rsidRDefault="00F31AEA" w:rsidP="00F31AEA">
      <w:pPr>
        <w:pStyle w:val="Standard"/>
      </w:pPr>
      <w:r>
        <w:rPr>
          <w:rFonts w:eastAsia="Arial"/>
        </w:rPr>
        <w:t xml:space="preserve"> </w:t>
      </w:r>
      <w:r>
        <w:t>- kryterium dopuszczalnej obciążalności prądowej Id;</w:t>
      </w:r>
    </w:p>
    <w:p w14:paraId="41FB68F9" w14:textId="77777777" w:rsidR="00F31AEA" w:rsidRDefault="00F31AEA" w:rsidP="00F31AEA">
      <w:pPr>
        <w:pStyle w:val="Standard"/>
      </w:pPr>
      <w:r>
        <w:rPr>
          <w:rFonts w:eastAsia="Arial"/>
        </w:rPr>
        <w:t xml:space="preserve"> </w:t>
      </w:r>
      <w:r>
        <w:t xml:space="preserve">- kryterium dopuszczalnej obciążalności zwarciowej </w:t>
      </w:r>
      <w:proofErr w:type="spellStart"/>
      <w:r>
        <w:t>jdop</w:t>
      </w:r>
      <w:proofErr w:type="spellEnd"/>
      <w:r>
        <w:t>;</w:t>
      </w:r>
    </w:p>
    <w:p w14:paraId="64F6F4EB" w14:textId="77777777" w:rsidR="00F31AEA" w:rsidRDefault="00F31AEA" w:rsidP="00F31AEA">
      <w:pPr>
        <w:pStyle w:val="Standard"/>
      </w:pPr>
      <w:r>
        <w:rPr>
          <w:rFonts w:eastAsia="Arial"/>
        </w:rPr>
        <w:t xml:space="preserve"> </w:t>
      </w:r>
      <w:r>
        <w:t xml:space="preserve">- kryterium dopuszczalnego spadku napięcia  </w:t>
      </w:r>
      <w:proofErr w:type="spellStart"/>
      <w:r>
        <w:t>Udop</w:t>
      </w:r>
      <w:proofErr w:type="spellEnd"/>
      <w:r>
        <w:t>.</w:t>
      </w:r>
    </w:p>
    <w:p w14:paraId="711EBAC1" w14:textId="156E1275" w:rsidR="00F31AEA" w:rsidRDefault="00F31AEA" w:rsidP="00F31AEA">
      <w:pPr>
        <w:pStyle w:val="Nagwek2"/>
        <w:rPr>
          <w:rFonts w:ascii="Arial" w:hAnsi="Arial" w:cs="Arial"/>
          <w:szCs w:val="24"/>
        </w:rPr>
      </w:pPr>
      <w:bookmarkStart w:id="102" w:name="Bookmark15"/>
      <w:bookmarkStart w:id="103" w:name="__RefHeading__657_408857855"/>
      <w:bookmarkStart w:id="104" w:name="_Toc167754608"/>
      <w:bookmarkStart w:id="105" w:name="_Toc187103149"/>
      <w:bookmarkStart w:id="106" w:name="_Toc188018765"/>
      <w:bookmarkStart w:id="107" w:name="_Toc189399220"/>
      <w:bookmarkStart w:id="108" w:name="_Toc189829080"/>
      <w:bookmarkStart w:id="109" w:name="_Toc190043321"/>
      <w:bookmarkStart w:id="110" w:name="_Toc191067819"/>
      <w:r>
        <w:rPr>
          <w:rFonts w:ascii="Arial" w:hAnsi="Arial" w:cs="Arial"/>
          <w:szCs w:val="24"/>
        </w:rPr>
        <w:t>Ochrona przepięciowa.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42EF60B8" w14:textId="0B60FD7F" w:rsidR="00F31AEA" w:rsidRDefault="00F31AEA" w:rsidP="00F31AEA">
      <w:pPr>
        <w:pStyle w:val="Standard"/>
        <w:ind w:firstLine="432"/>
      </w:pPr>
      <w:r>
        <w:t xml:space="preserve">Projektuje się ochronę przeciwprzepięciową w oparciu o ograniczniki klasy 1+2 </w:t>
      </w:r>
      <w:r w:rsidR="00A20A53">
        <w:t>zainstalowane w rozdzielnicy bezpiecznikowej</w:t>
      </w:r>
      <w:r>
        <w:t>.</w:t>
      </w:r>
    </w:p>
    <w:p w14:paraId="745E4E2E" w14:textId="3AC6D4BE" w:rsidR="00F31AEA" w:rsidRDefault="00F31AEA" w:rsidP="00F31AEA">
      <w:pPr>
        <w:pStyle w:val="Nagwek2"/>
        <w:rPr>
          <w:rFonts w:ascii="Arial" w:hAnsi="Arial" w:cs="Arial"/>
          <w:szCs w:val="24"/>
        </w:rPr>
      </w:pPr>
      <w:bookmarkStart w:id="111" w:name="Bookmark17"/>
      <w:bookmarkStart w:id="112" w:name="__RefHeading__661_408857855"/>
      <w:bookmarkStart w:id="113" w:name="_Toc167754610"/>
      <w:bookmarkStart w:id="114" w:name="_Toc187103150"/>
      <w:bookmarkStart w:id="115" w:name="_Toc188018766"/>
      <w:bookmarkStart w:id="116" w:name="_Toc189399221"/>
      <w:bookmarkStart w:id="117" w:name="_Toc189829081"/>
      <w:bookmarkStart w:id="118" w:name="_Toc190043322"/>
      <w:bookmarkStart w:id="119" w:name="_Toc191067820"/>
      <w:r>
        <w:rPr>
          <w:rFonts w:ascii="Arial" w:hAnsi="Arial" w:cs="Arial"/>
          <w:szCs w:val="24"/>
        </w:rPr>
        <w:t>Połączenia wyrównawcze.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60EA24A8" w14:textId="187D182C" w:rsidR="00F31AEA" w:rsidRDefault="00F31AEA" w:rsidP="00F31AEA">
      <w:pPr>
        <w:pStyle w:val="Standard"/>
        <w:ind w:firstLine="432"/>
      </w:pPr>
      <w:r>
        <w:t xml:space="preserve">Do głównej szyny uziemiającej zamontowanej w pobliżu rozdzielnicy </w:t>
      </w:r>
      <w:r w:rsidR="00A20A53">
        <w:t>TB lub w jej wnętrzu</w:t>
      </w:r>
      <w:r>
        <w:t xml:space="preserve"> przyłączyć</w:t>
      </w:r>
      <w:r w:rsidR="00A20A53">
        <w:t xml:space="preserve"> </w:t>
      </w:r>
      <w:r>
        <w:t xml:space="preserve">przyłącze wody i innych instalacji, metalowe korytka instalacyjne, szynę PE rozdzielnicy głównej. Połączenia wykonać przewodami typu </w:t>
      </w:r>
      <w:proofErr w:type="spellStart"/>
      <w:r>
        <w:t>LgY</w:t>
      </w:r>
      <w:proofErr w:type="spellEnd"/>
      <w:r>
        <w:t xml:space="preserve">. Należy zapewnić ciągłości elektryczną połączeń między poszczególnymi odcinkami korytek na całej ich długości. Główną szynę uziemiającą połączyć z uziomem przy pomocy taśmy </w:t>
      </w:r>
      <w:proofErr w:type="spellStart"/>
      <w:r>
        <w:t>FeZn</w:t>
      </w:r>
      <w:proofErr w:type="spellEnd"/>
      <w:r>
        <w:t xml:space="preserve"> 30x4.</w:t>
      </w:r>
    </w:p>
    <w:p w14:paraId="689B6AF3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</w:p>
    <w:p w14:paraId="2D62D8DA" w14:textId="77777777" w:rsidR="00F31AEA" w:rsidRDefault="00F31AEA" w:rsidP="00F31AEA">
      <w:pPr>
        <w:pStyle w:val="Standard"/>
        <w:jc w:val="both"/>
      </w:pPr>
    </w:p>
    <w:p w14:paraId="0083371B" w14:textId="77777777" w:rsidR="00CB7006" w:rsidRDefault="00CB7006" w:rsidP="00F31AEA">
      <w:pPr>
        <w:pStyle w:val="Standard"/>
        <w:jc w:val="both"/>
      </w:pPr>
    </w:p>
    <w:p w14:paraId="44E5ACB9" w14:textId="77777777" w:rsidR="00CB7006" w:rsidRDefault="00CB7006" w:rsidP="00F31AEA">
      <w:pPr>
        <w:pStyle w:val="Standard"/>
        <w:jc w:val="both"/>
      </w:pPr>
    </w:p>
    <w:p w14:paraId="4B20FE8A" w14:textId="77777777" w:rsidR="00CB7006" w:rsidRDefault="00CB7006" w:rsidP="00F31AEA">
      <w:pPr>
        <w:pStyle w:val="Standard"/>
        <w:jc w:val="both"/>
      </w:pPr>
    </w:p>
    <w:p w14:paraId="71FF64DF" w14:textId="77777777" w:rsidR="00CB7006" w:rsidRDefault="00CB7006" w:rsidP="00F31AEA">
      <w:pPr>
        <w:pStyle w:val="Standard"/>
        <w:jc w:val="both"/>
      </w:pPr>
    </w:p>
    <w:p w14:paraId="33BF6995" w14:textId="77777777" w:rsidR="00CB7006" w:rsidRDefault="00CB7006" w:rsidP="00F31AEA">
      <w:pPr>
        <w:pStyle w:val="Standard"/>
        <w:jc w:val="both"/>
      </w:pPr>
    </w:p>
    <w:p w14:paraId="45CE89A2" w14:textId="77777777" w:rsidR="00CB7006" w:rsidRDefault="00CB7006" w:rsidP="00F31AEA">
      <w:pPr>
        <w:pStyle w:val="Standard"/>
        <w:jc w:val="both"/>
      </w:pPr>
    </w:p>
    <w:p w14:paraId="7F57C508" w14:textId="77777777" w:rsidR="00CB7006" w:rsidRDefault="00CB7006" w:rsidP="00F31AEA">
      <w:pPr>
        <w:pStyle w:val="Standard"/>
        <w:jc w:val="both"/>
      </w:pPr>
    </w:p>
    <w:p w14:paraId="19635F84" w14:textId="77777777" w:rsidR="00CB7006" w:rsidRDefault="00CB7006" w:rsidP="00F31AEA">
      <w:pPr>
        <w:pStyle w:val="Standard"/>
        <w:jc w:val="both"/>
      </w:pPr>
    </w:p>
    <w:p w14:paraId="79B22A1E" w14:textId="77777777" w:rsidR="00CB7006" w:rsidRDefault="00CB7006" w:rsidP="00F31AEA">
      <w:pPr>
        <w:pStyle w:val="Standard"/>
        <w:jc w:val="both"/>
      </w:pPr>
    </w:p>
    <w:p w14:paraId="4425DE3D" w14:textId="4255E999" w:rsidR="00F31AEA" w:rsidRDefault="00F31AEA" w:rsidP="00F31AEA">
      <w:pPr>
        <w:pStyle w:val="Nagwek1"/>
      </w:pPr>
      <w:bookmarkStart w:id="120" w:name="Bookmark21"/>
      <w:bookmarkStart w:id="121" w:name="__RefHeading__669_408857855"/>
      <w:bookmarkStart w:id="122" w:name="_Toc167754613"/>
      <w:bookmarkStart w:id="123" w:name="_Toc187103153"/>
      <w:bookmarkStart w:id="124" w:name="_Toc188018769"/>
      <w:bookmarkStart w:id="125" w:name="_Toc189399225"/>
      <w:bookmarkStart w:id="126" w:name="_Toc189829085"/>
      <w:bookmarkStart w:id="127" w:name="_Toc190043325"/>
      <w:bookmarkStart w:id="128" w:name="_Toc191067821"/>
      <w:r>
        <w:rPr>
          <w:rFonts w:ascii="Arial" w:hAnsi="Arial" w:cs="Arial"/>
          <w:szCs w:val="24"/>
        </w:rPr>
        <w:lastRenderedPageBreak/>
        <w:t>Bezpieczeństwo i Ochrona Zdrowia w trakcie wykonywania robót elektrycznych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7BCBA917" w14:textId="77777777" w:rsidR="00F31AEA" w:rsidRDefault="00F31AEA" w:rsidP="00F31AEA">
      <w:pPr>
        <w:pStyle w:val="Standard"/>
      </w:pPr>
      <w:r>
        <w:t>1. Wszelkie prace prowadzone na budowie winny być wykonywane i nadzorowane przez osobę posiadającą uprawnienia wykonawcze do prowadzenia robót branży elektrycznej.</w:t>
      </w:r>
    </w:p>
    <w:p w14:paraId="4F22DCE1" w14:textId="77777777" w:rsidR="00F31AEA" w:rsidRDefault="00F31AEA" w:rsidP="00F31AEA">
      <w:pPr>
        <w:pStyle w:val="Standard"/>
      </w:pPr>
      <w:r>
        <w:t>2. Roboty wykonywane przy urządzeniach pod napięciem może wykonywać tylko elektryk uprawniony (wymagane kwalifikacje określa rodzaj urządzeń oraz napięcie sieci, przy jakiej prowadzone są prace)</w:t>
      </w:r>
    </w:p>
    <w:p w14:paraId="07807198" w14:textId="77777777" w:rsidR="00F31AEA" w:rsidRDefault="00F31AEA" w:rsidP="00F31AEA">
      <w:pPr>
        <w:pStyle w:val="Standard"/>
      </w:pPr>
      <w:r>
        <w:t>3. Sposób prowadzenia prac w pobliżu urządzeń i sieci podziemnych będących pod napięciem należy uzgodnić z użytkownikiem.</w:t>
      </w:r>
    </w:p>
    <w:p w14:paraId="65927D21" w14:textId="77777777" w:rsidR="00F31AEA" w:rsidRDefault="00F31AEA" w:rsidP="00F31AEA">
      <w:pPr>
        <w:pStyle w:val="Standard"/>
      </w:pPr>
      <w:r>
        <w:t>4. Urządzenia, instalacje elektroenergetyczne lub ich części, przy których będą prowadzone prace montażowe, konserwacyjne, remontowe lub modernizacyjne, powinny być wyłączone z ruchu, pozbawione czynników stwarzających zagrożenie i skutecznie zabezpieczone przed ich przypadkowym uruchomieniem</w:t>
      </w:r>
    </w:p>
    <w:p w14:paraId="3FD73B92" w14:textId="77777777" w:rsidR="00F31AEA" w:rsidRDefault="00F31AEA" w:rsidP="00F31AEA">
      <w:pPr>
        <w:pStyle w:val="Standard"/>
      </w:pPr>
      <w:r>
        <w:t>5. Jeżeli ruch urządzeń znajdujących się w pobliżu miejsca instalowania urządzeń instalacji energetycznych zagraża bezpieczeństwu pracowników, to urządzenia te powinny być na czas wykonywania tych prac wyłączone z ruchu.</w:t>
      </w:r>
    </w:p>
    <w:p w14:paraId="3F152F0C" w14:textId="77777777" w:rsidR="00F31AEA" w:rsidRDefault="00F31AEA" w:rsidP="00F31AEA">
      <w:pPr>
        <w:pStyle w:val="Standard"/>
      </w:pPr>
      <w:r>
        <w:t>6. Wyłączenie urządzeń i instalacji elektroenergetycznych spod napięcia powinno być dokonane w taki sposób, aby uzyskać przerwę izolacyjną w obwodach zasilających urządzenia i instalacje.</w:t>
      </w:r>
    </w:p>
    <w:p w14:paraId="2ABAC57D" w14:textId="77777777" w:rsidR="00F31AEA" w:rsidRDefault="00F31AEA" w:rsidP="00F31AEA">
      <w:pPr>
        <w:pStyle w:val="Standard"/>
      </w:pPr>
      <w:r>
        <w:t>7. Prace pod napięciem należy wykonywać w oparciu o właściwą technologię pracy i przy zastosowaniu wymaganych narzędzi i środków ochronnych, określonych w instrukcji tych prac.</w:t>
      </w:r>
    </w:p>
    <w:p w14:paraId="5A3715FD" w14:textId="77777777" w:rsidR="00F31AEA" w:rsidRDefault="00F31AEA" w:rsidP="00F31AEA">
      <w:pPr>
        <w:pStyle w:val="Standard"/>
      </w:pPr>
      <w:r>
        <w:t>8. Prace w warunkach szczególnego zagrożenia dla zdrowia i życia ludzkiego powinny być wykonywane co najmniej przez dwie osoby, z wyjątkiem prac z zakresu prób i pomiarów, konserwacji i napraw urządzeń i instalacji elektroenergetycznych do 1kV, wykonywanych przez osobę wyznaczoną na stałe do tych prac w obecności pracownika asekurującego, przeszkolonego w udzielaniu pierwszej pomocy:</w:t>
      </w:r>
    </w:p>
    <w:p w14:paraId="0E5372FD" w14:textId="77777777" w:rsidR="00F31AEA" w:rsidRDefault="00F31AEA" w:rsidP="00F31AEA">
      <w:pPr>
        <w:pStyle w:val="Standard"/>
      </w:pPr>
      <w:r>
        <w:t>- konserwacyjne, modernizacyjne i remontowe przy urządzeniach elektroenergetycznych lub ich części znajdujących się pod napięciem;</w:t>
      </w:r>
    </w:p>
    <w:p w14:paraId="326F12DA" w14:textId="77777777" w:rsidR="00F31AEA" w:rsidRDefault="00F31AEA" w:rsidP="00F31AEA">
      <w:pPr>
        <w:pStyle w:val="Standard"/>
      </w:pPr>
      <w:r>
        <w:t>- wykonywane w pobliżu nie osłoniętych urządzeń elektroenergetycznych lub ich części, znajdujących się pod napięciem;</w:t>
      </w:r>
    </w:p>
    <w:p w14:paraId="6A32FED9" w14:textId="77777777" w:rsidR="00F31AEA" w:rsidRDefault="00F31AEA" w:rsidP="00F31AEA">
      <w:pPr>
        <w:pStyle w:val="Standard"/>
      </w:pPr>
      <w:r>
        <w:t>- przy wyłączonych spod napięcia, lecz nie uziemionych urządzeniach energoelektrycznych lub uziemionych w taki sposób, że żadne z uziemień - uziemiaczy nie jest widoczne z miejsca pracy;</w:t>
      </w:r>
    </w:p>
    <w:p w14:paraId="4167B9E0" w14:textId="77777777" w:rsidR="00F31AEA" w:rsidRDefault="00F31AEA" w:rsidP="00F31AEA">
      <w:pPr>
        <w:pStyle w:val="Standard"/>
      </w:pPr>
      <w:r>
        <w:t>- związane z identyfikacją i przecinaniem kabli.</w:t>
      </w:r>
    </w:p>
    <w:p w14:paraId="4352A78F" w14:textId="77777777" w:rsidR="00F31AEA" w:rsidRDefault="00F31AEA" w:rsidP="00F31AEA">
      <w:pPr>
        <w:pStyle w:val="Standard"/>
      </w:pPr>
      <w:r>
        <w:t>9. Prace w warunkach szczególnego zagrożenia zdrowia i życia ludzkiego należy wykonywać na podstawie polecenia pisemnego. Bez polecenia dozwolone jest wykonywanie czynności związanych z ratowaniem zdrowia i życia ludzkiego oraz zabezpieczenie urządzeń i instalacji przed zniszczeniem</w:t>
      </w:r>
    </w:p>
    <w:p w14:paraId="54F2E2FA" w14:textId="77777777" w:rsidR="00F31AEA" w:rsidRDefault="00F31AEA" w:rsidP="00F31AEA">
      <w:pPr>
        <w:pStyle w:val="Standard"/>
      </w:pPr>
      <w:r>
        <w:t>10. Narzędzia pracy i sprzęt ochronny należy przechowywać w miejscach wyznaczonych, w warunkach zapewniających utrzymanie ich w pełnej sprawności.</w:t>
      </w:r>
    </w:p>
    <w:p w14:paraId="04FA7C59" w14:textId="77777777" w:rsidR="00F31AEA" w:rsidRDefault="00F31AEA" w:rsidP="00F31AEA">
      <w:pPr>
        <w:pStyle w:val="Standard"/>
      </w:pPr>
      <w:r>
        <w:t>11.Narzędzia pracy i sprzęt ochronny powinny mieć aktualne atesty (zgodnie z PN i dokumentacją producenta).</w:t>
      </w:r>
    </w:p>
    <w:p w14:paraId="2BE1C713" w14:textId="4BEFBC92" w:rsidR="00F31AEA" w:rsidRDefault="00F31AEA" w:rsidP="00F31AEA">
      <w:pPr>
        <w:pStyle w:val="Standard"/>
      </w:pPr>
      <w:r>
        <w:t>12. Zabronione jest używanie narzędzi sprzętu ochronnego, które nie są oznakowane a ich stan techniczny powinien być sprawdzony</w:t>
      </w:r>
    </w:p>
    <w:p w14:paraId="0F9EE804" w14:textId="74EF690C" w:rsidR="00F31AEA" w:rsidRDefault="00F31AEA" w:rsidP="00F31AEA">
      <w:pPr>
        <w:pStyle w:val="Nagwek1"/>
      </w:pPr>
      <w:bookmarkStart w:id="129" w:name="__RefHeading__671_408857855"/>
      <w:bookmarkStart w:id="130" w:name="_Toc167754614"/>
      <w:bookmarkStart w:id="131" w:name="_Toc187103154"/>
      <w:bookmarkStart w:id="132" w:name="_Toc188018770"/>
      <w:bookmarkStart w:id="133" w:name="_Toc189399226"/>
      <w:bookmarkStart w:id="134" w:name="_Toc189829086"/>
      <w:bookmarkStart w:id="135" w:name="_Toc190043326"/>
      <w:bookmarkStart w:id="136" w:name="Bookmark22"/>
      <w:bookmarkStart w:id="137" w:name="_Toc191067822"/>
      <w:r>
        <w:rPr>
          <w:rFonts w:ascii="Arial" w:hAnsi="Arial" w:cs="Arial"/>
          <w:szCs w:val="24"/>
        </w:rPr>
        <w:lastRenderedPageBreak/>
        <w:t>UWAGI KOŃCOWE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5E379933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bookmarkStart w:id="138" w:name="Bookmark23"/>
      <w:bookmarkStart w:id="139" w:name="_Toc257796004"/>
      <w:bookmarkStart w:id="140" w:name="_Toc262463416"/>
      <w:r>
        <w:rPr>
          <w:rFonts w:cs="Arial"/>
        </w:rPr>
        <w:t>Zgodnie z:</w:t>
      </w:r>
    </w:p>
    <w:p w14:paraId="15FD18C4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>Ustawą z dnia 7 lipca 1994roku Prawo Budowlane (tekst jednolity Dz. U. 2006r. nr 156 poz. 1118 wraz z późniejszymi zmianami);</w:t>
      </w:r>
    </w:p>
    <w:p w14:paraId="29ABC583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Ustawą z dnia 16 kwietnia 2004r. o wyrobach budowlanych (Dz. U. 2004r. nr 92, poz. 881);</w:t>
      </w:r>
    </w:p>
    <w:p w14:paraId="3DC4EFCF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3.</w:t>
      </w:r>
      <w:r>
        <w:rPr>
          <w:rFonts w:cs="Arial"/>
        </w:rPr>
        <w:tab/>
        <w:t>Rozporządzeniem Ministra Infrastruktury z dnia 11 sierpnia 2004r. w sprawie sposobów deklarowania zgodności wyrobów budowlanych oraz sposobu znakowania ich znakiem budowlanym (Dz. U. 2004r. nr 198, poz. 2041);</w:t>
      </w:r>
    </w:p>
    <w:p w14:paraId="47309B09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  <w:t>Ustawą z dnia 2 marca 2000r. o ochronie niektórych praw konsumentów oraz o odpowiedzialności za szkodę wyrządzoną przez produkt niebezpieczny (Dz. U. 2000r. nr 22, poz. 271),</w:t>
      </w:r>
    </w:p>
    <w:p w14:paraId="2EB88302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przy wykonywaniu prac budowlano - montażowych należy stosować wyroby dopuszczone do obrotu i stosowania w budownictwie.</w:t>
      </w:r>
    </w:p>
    <w:p w14:paraId="7786BC4A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Za dopuszczone do obrotu i stosowania w budownictwie uznaje się wyroby, dla których zgodnie z odrębnymi przepisami wydano:</w:t>
      </w:r>
    </w:p>
    <w:p w14:paraId="06F2578D" w14:textId="77777777" w:rsidR="00F31AEA" w:rsidRDefault="00F31AEA" w:rsidP="00F31AEA">
      <w:pPr>
        <w:pStyle w:val="Standard"/>
        <w:ind w:firstLine="397"/>
        <w:jc w:val="both"/>
      </w:pPr>
      <w:r>
        <w:rPr>
          <w:rFonts w:cs="Arial"/>
          <w:b/>
        </w:rPr>
        <w:t>- certyfikat na znak bezpieczeństwa</w:t>
      </w:r>
      <w:r>
        <w:rPr>
          <w:rFonts w:cs="Arial"/>
        </w:rPr>
        <w:t xml:space="preserve"> wykazujący, że zapewniono zgodność z kryteriami technicznymi określonymi na podstawie polskich norm, aprobat technicznych oraz właściwych przepisów i dokumentów technicznych;</w:t>
      </w:r>
    </w:p>
    <w:p w14:paraId="1A1568A8" w14:textId="77777777" w:rsidR="00F31AEA" w:rsidRDefault="00F31AEA" w:rsidP="00F31AEA">
      <w:pPr>
        <w:pStyle w:val="Standard"/>
        <w:ind w:firstLine="397"/>
        <w:jc w:val="both"/>
      </w:pPr>
      <w:r>
        <w:rPr>
          <w:rFonts w:cs="Arial"/>
          <w:b/>
        </w:rPr>
        <w:t xml:space="preserve">- deklarację zgodności lub certyfikat zgodności </w:t>
      </w:r>
      <w:r>
        <w:rPr>
          <w:rFonts w:cs="Arial"/>
        </w:rPr>
        <w:t>z polską normą lub aprobatą techniczną (w wypadku wyrobów, dla których nie ustanowiono polskiej normy ), jeżeli nie są objęte certyfikacją na znak bezpieczeństwa</w:t>
      </w:r>
      <w:r>
        <w:rPr>
          <w:rFonts w:cs="Arial"/>
          <w:b/>
        </w:rPr>
        <w:t>.</w:t>
      </w:r>
    </w:p>
    <w:p w14:paraId="425CC3DB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  <w:r>
        <w:rPr>
          <w:rFonts w:cs="Arial"/>
          <w:i/>
          <w:u w:val="single"/>
        </w:rPr>
        <w:t>UWAGA: Zabrania się instalowanie opraw oświetleniowych oraz osprzętu instalacji elektrycznych, jak wyłączniki, przełączniki, gniazda wtyczkowe, bezpośrednio na podłożu palnym, jeżeli ich konstrukcja nie zabezpiecza podłoża przed zapaleniem (RMSW i A Dz. U nr 121 z dnia 16 czerwca 2003 r. poz. 1138)</w:t>
      </w:r>
    </w:p>
    <w:p w14:paraId="7BD285B1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565FCF09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3496704D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0A5F0042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7999A5FC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1681B5BA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092559BF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78F09833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410BD5FD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7E1D0F51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3BE19069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576DDAE5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2C73595C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6037F3EA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5D953B83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4118F2D2" w14:textId="77777777" w:rsidR="00F31AEA" w:rsidRDefault="00F31AEA" w:rsidP="00F31AEA">
      <w:pPr>
        <w:pStyle w:val="Standard"/>
        <w:jc w:val="both"/>
        <w:rPr>
          <w:rFonts w:cs="Arial"/>
          <w:i/>
          <w:u w:val="single"/>
        </w:rPr>
      </w:pPr>
    </w:p>
    <w:p w14:paraId="75284125" w14:textId="1F9DE2BA" w:rsidR="00F31AEA" w:rsidRDefault="00F31AEA" w:rsidP="00F31AEA">
      <w:pPr>
        <w:pStyle w:val="Nagwek1"/>
      </w:pPr>
      <w:bookmarkStart w:id="141" w:name="_Toc188018771"/>
      <w:bookmarkStart w:id="142" w:name="_Toc189399227"/>
      <w:bookmarkStart w:id="143" w:name="_Toc189829087"/>
      <w:bookmarkStart w:id="144" w:name="_Toc190043327"/>
      <w:bookmarkStart w:id="145" w:name="_Toc191067823"/>
      <w:bookmarkEnd w:id="138"/>
      <w:bookmarkEnd w:id="139"/>
      <w:bookmarkEnd w:id="140"/>
      <w:r>
        <w:rPr>
          <w:rFonts w:ascii="Arial" w:hAnsi="Arial" w:cs="Arial"/>
          <w:szCs w:val="24"/>
        </w:rPr>
        <w:lastRenderedPageBreak/>
        <w:t>NORMY I PRZEPISY</w:t>
      </w:r>
      <w:bookmarkEnd w:id="141"/>
      <w:bookmarkEnd w:id="142"/>
      <w:bookmarkEnd w:id="143"/>
      <w:bookmarkEnd w:id="144"/>
      <w:bookmarkEnd w:id="145"/>
    </w:p>
    <w:p w14:paraId="245826FF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PN-HD 60364-1:2010P Instalacje elektryczne w obiektach budowlanych - Zakres, przedmiot i wymagania podstawowe</w:t>
      </w:r>
    </w:p>
    <w:p w14:paraId="64DCD688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PN-IEC 60364-3:2000P Instalacje elektryczne w obiektach budowlanych - Ustalanie ogólnych charakterystyk</w:t>
      </w:r>
    </w:p>
    <w:p w14:paraId="071F0DB4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PN-HD 60364-4-41:2009P Instalacje elektryczne w obiektach budowlanych - Ochrona dla zapewnienia bezpieczeństwa Ochrona przeciwporażeniowa</w:t>
      </w:r>
    </w:p>
    <w:p w14:paraId="4D5D7441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PN-HD 60364-4-42:2011 Instalacje elektryczne w obiektach budowlanych -Ochrona dla zapewnienia bezpieczeństwa - Ochrona przed skutkami oddziaływania cieplnego</w:t>
      </w:r>
    </w:p>
    <w:p w14:paraId="1541AE7E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PN-HD 60364-4-43:2012 Instalacje elektryczne w obiektach budowlanych - Ochrona dla zapewnienia bezpieczeństwa - Ochrona przed prądem przetężeniowym</w:t>
      </w:r>
    </w:p>
    <w:p w14:paraId="13CFD930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 xml:space="preserve">PN-HD 60364-4-442:2012 Instalacje elektryczne w obiektach budowlanych - Ochrona dla zapewnienia bezpieczeństwa - Ochrona przed przepięciami - Ochrona instalacji niskiego napięcia przed przejściowymi przepięciami i uszkodzeniami przy </w:t>
      </w:r>
      <w:proofErr w:type="spellStart"/>
      <w:r>
        <w:rPr>
          <w:rFonts w:cs="Arial"/>
        </w:rPr>
        <w:t>doziemieniach</w:t>
      </w:r>
      <w:proofErr w:type="spellEnd"/>
      <w:r>
        <w:rPr>
          <w:rFonts w:cs="Arial"/>
        </w:rPr>
        <w:t xml:space="preserve"> w sieciach wysokiego napięcia</w:t>
      </w:r>
    </w:p>
    <w:p w14:paraId="27CBCFDE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PN-HD 60364-4-443:2016-03 Instalacje elektryczne w obiektach budowlanych - Ochrona dla zapewnienia bezpieczeństwa - Ochrona przed przepięciami - Ochrona przed przepięciami atmosferycznymi lub łączeniowymi</w:t>
      </w:r>
    </w:p>
    <w:p w14:paraId="50F251C9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PN-HD 60364-4-444:2012 Instalacje elektryczne w obiektach budowlanych - Ochrona dla zapewnienia bezpieczeństwa - Ochrona przed zakłóceniami napięciowymi i zaburzeniami elektromagnetycznymi</w:t>
      </w:r>
    </w:p>
    <w:p w14:paraId="7B387990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 xml:space="preserve">PN-HD 60364-5-52:2011E Instalacje elektryczne w obiektach budowlanych - Dobór i montaż wyposażenia elektrycznego - </w:t>
      </w:r>
      <w:proofErr w:type="spellStart"/>
      <w:r>
        <w:rPr>
          <w:rFonts w:cs="Arial"/>
        </w:rPr>
        <w:t>Oprzewodowanie</w:t>
      </w:r>
      <w:proofErr w:type="spellEnd"/>
    </w:p>
    <w:p w14:paraId="409C7895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PN-IEC 60364-5-523:2001P Instalacje elektryczne w obiektach budowlanych - Dobór i montaż wyposażenia elektrycznego - Obciążalność prądowa długotrwała przewodów</w:t>
      </w:r>
    </w:p>
    <w:p w14:paraId="4DCABBED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PN-HD 60364-5-54:2011 Instalacje elektryczne w obiektach budowlanych - Dobór i montaż wyposażenia elektrycznego - Uziemienia i przewody ochronne</w:t>
      </w:r>
    </w:p>
    <w:p w14:paraId="75985E18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PN-HD 60364-5-559:2012 Instalacje elektryczne w obiektach budowlanych - Dobór i montaż wyposażenia elektrycznego - Inne wyposażenie - Oprawy oświetleniowe i instalacje oświetleniowe</w:t>
      </w:r>
    </w:p>
    <w:p w14:paraId="715EA73E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PN-HD 60364-5-56:2010P Instalacje elektryczne w obiektach budowlanych - Dobór i montaż wyposażenia elektrycznego - Instalacje bezpieczeństwa</w:t>
      </w:r>
    </w:p>
    <w:p w14:paraId="5742DE59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PN-HD 60364-6:2016-07 Instalacje elektryczne niskiego napięcia – Część 6: Sprawdzanie</w:t>
      </w:r>
    </w:p>
    <w:p w14:paraId="3B58DAAB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PN-EN 60529:2003 Stopnie ochrony zapewnianej przez obudowy (Kod IP)</w:t>
      </w:r>
    </w:p>
    <w:p w14:paraId="5AC99FE5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PN-EN 60598-2-22:2015-01 Oprawy oświetleniowe -Wymagania szczegółowe - Oprawy oświetleniowe do oświetlenia awaryjnego</w:t>
      </w:r>
    </w:p>
    <w:p w14:paraId="040802DD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PN-EN 12464-1:2012P Światło i oświetlenie - Oświetlenie miejsc pracy - Część 1: Miejsca pracy we wnętrzach</w:t>
      </w:r>
    </w:p>
    <w:p w14:paraId="426296A0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PN-EN 12464-2:2008 Światło i oświetlenie - Oświetlenie miejsc pracy - Część 2: Miejsca pracy na zewnątrz</w:t>
      </w:r>
    </w:p>
    <w:p w14:paraId="5B3956C2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PN-EN 1838:2005P Zastosowania oświetlenia -- Oświetlenie awaryjne</w:t>
      </w:r>
    </w:p>
    <w:p w14:paraId="41C23A20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PN-EN 50172:2005 Systemy awaryjnego oświetlenia ewakuacyjnego</w:t>
      </w:r>
    </w:p>
    <w:p w14:paraId="533CBBCF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lastRenderedPageBreak/>
        <w:t>N SEP-E-004 Elektroenergetyczne i sygnalizacyjne linie kablowe. Projektowanie i budowa.</w:t>
      </w:r>
    </w:p>
    <w:p w14:paraId="5BFDDA66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PN- HD 308 S2:2007P Identyfikacja żył w kablach i przewodach oraz w przewodach sznurowych</w:t>
      </w:r>
    </w:p>
    <w:p w14:paraId="34B071F8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 xml:space="preserve">PN-E-04700:1998/Az1:2000 Urządzenia i układy elektryczne w obiektach elektroenergetycznych </w:t>
      </w:r>
    </w:p>
    <w:p w14:paraId="7010F4AF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 xml:space="preserve">Wytyczne przeprowadzania </w:t>
      </w:r>
      <w:proofErr w:type="spellStart"/>
      <w:r>
        <w:rPr>
          <w:rFonts w:cs="Arial"/>
        </w:rPr>
        <w:t>pomontażowych</w:t>
      </w:r>
      <w:proofErr w:type="spellEnd"/>
      <w:r>
        <w:rPr>
          <w:rFonts w:cs="Arial"/>
        </w:rPr>
        <w:t xml:space="preserve"> badań odbiorczych. Ustawa z dnia 16 kwietnia 2004 r. o wyrobach budowlanych (Dz. U. 2019r., poz. 266 z późniejszymi zmianami).</w:t>
      </w:r>
    </w:p>
    <w:p w14:paraId="5587C340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 xml:space="preserve">Ustawa z dnia 25 czerwca 2015 r. o zmianie ustawy o wyrobach budowlanych (Dz. U. 2015, poz. 1165 wraz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>. zmianami)</w:t>
      </w:r>
    </w:p>
    <w:p w14:paraId="545A5AD2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Ustawą z dnia 7 lipca 1994roku Prawo Budowlane (Dz. U. z 2023 r. poz. 682 wraz z późniejszymi zmianami)</w:t>
      </w:r>
    </w:p>
    <w:p w14:paraId="295B0BB3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Rozporządzenie Ministra Infrastruktury z dnia 12 kwietnia 2002r, w sprawie warunków technicznych, jakim powinny odpowiadać budynki i ich usytuowanie (Dz.U. z 2024r. poz. 726 wraz z późniejszymi zmianami)</w:t>
      </w:r>
    </w:p>
    <w:p w14:paraId="24DC8A9A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 xml:space="preserve">Ustawa o systemie oceny zgodności (Dz. U. z 2023r., poz. 215 wraz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>. zmianami)</w:t>
      </w:r>
    </w:p>
    <w:p w14:paraId="3BBDEEBE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Ustawa z dnia 30 maja 2014r. o prawach konsumenta (Dz. U. 2014r., poz. 827 wraz z późniejszymi zmianami)</w:t>
      </w:r>
    </w:p>
    <w:p w14:paraId="007CBCBA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Rozporządzenie Ministra Rozwoju i Technologii z dnia 20 grudnia 2021 r. w sprawie szczegółowego zakresu i formy dokumentacji projektowej, specyfikacji technicznych wykonania i odbioru robót budowlanych oraz programu funkcjonalno-użytkowego (Dz.U. z 2021r. poz.2454, wraz z późniejszymi zmianami)</w:t>
      </w:r>
    </w:p>
    <w:p w14:paraId="4C60ECE8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Rozporządzenie Ministra Rozwoju i Technologii z dnia 31 stycznia 2022 r. zmieniające rozporządzenie w sprawie warunków technicznych, jakim powinny odpowiadać budynki i ich usytuowanie. (Dz.U. z 2022r. poz. 248 wraz z późniejszymi zmianami).</w:t>
      </w:r>
    </w:p>
    <w:p w14:paraId="3D6D691C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 xml:space="preserve">Rozporządzenie Ministra Rozwoju i Technologii z dnia 1 grudnia 2021 r. w sprawie sposobu deklarowania właściwości użytkowych wyrobów budowlanych oraz sposobu znakowania ich znakiem budowlanym (Dz. U. z 2021r., poz. 2260 wraz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>. zmianami)</w:t>
      </w:r>
    </w:p>
    <w:p w14:paraId="29661A89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Rozporządzenie Ministra Rodziny i Polityki Społecznej z dnia 4 listopada 2021 r. zmieniające rozporządzenie w sprawie ogólnych przepisów bezpieczeństwa i higieny pracy (Dz. U. z 2021r. poz. 2088 wraz z późniejszymi zmianami).</w:t>
      </w:r>
    </w:p>
    <w:p w14:paraId="4D14B88F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Rozporządzenie Ministra Spraw Wewnętrznych i Administracji z dnia 7 czerwca 2010r. w sprawie ochrony przeciwpożarowej budynków, innych obiektów budowlanych i terenów (Dz. U. 2022 r. poz. 2057 wraz z późniejszymi zmianami). Tekst jednolity ogłoszony obwieszczeniem Ministra Spraw Wewnętrznych i Administracji z dnia 21 marca 2023r. (Dz.U. 2023r, poz. 822)</w:t>
      </w:r>
    </w:p>
    <w:p w14:paraId="2EF92808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Warunki techniczne wykonania i odbioru robót budowlano-montażowych (tom l, część 4) Arkady, Warszawa 1990r.</w:t>
      </w:r>
    </w:p>
    <w:p w14:paraId="27818BD5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Warunki techniczne wykonania i odbioru robót budowlano-montażowych (tom V) Arkady, Warszawa 1990 r.</w:t>
      </w:r>
    </w:p>
    <w:p w14:paraId="2FDE2473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t>Warunki techniczne wykonania i odbioru robót budowlanych ITB część D: Roboty instalacyjne. Zeszyt 1: Instalacje elektryczne i piorunochronne w budynkach mieszkalnych. Warszawa 2012 r.</w:t>
      </w:r>
    </w:p>
    <w:p w14:paraId="782920D9" w14:textId="77777777" w:rsidR="00F31AEA" w:rsidRDefault="00F31AEA" w:rsidP="00F31AEA">
      <w:pPr>
        <w:pStyle w:val="Standard"/>
        <w:ind w:firstLine="397"/>
        <w:jc w:val="both"/>
        <w:rPr>
          <w:rFonts w:cs="Arial"/>
        </w:rPr>
      </w:pPr>
      <w:r>
        <w:rPr>
          <w:rFonts w:cs="Arial"/>
        </w:rPr>
        <w:lastRenderedPageBreak/>
        <w:t>Warunki techniczne wykonania i odbioru robót budowlanych ITB część D: Roboty instalacyjne. Zeszyt 2: Instalacje elektryczne i piorunochronne w budynkach użyteczności publicznej. Warszawa 2012 r.</w:t>
      </w:r>
    </w:p>
    <w:p w14:paraId="5CDE1333" w14:textId="77777777" w:rsidR="00F31AEA" w:rsidRDefault="00F31AEA" w:rsidP="00F31AEA">
      <w:pPr>
        <w:pStyle w:val="Standard"/>
        <w:ind w:firstLine="397"/>
        <w:jc w:val="both"/>
        <w:rPr>
          <w:rFonts w:cs="Arial"/>
          <w:szCs w:val="20"/>
        </w:rPr>
      </w:pPr>
    </w:p>
    <w:p w14:paraId="4E937ACC" w14:textId="77777777" w:rsidR="00F31AEA" w:rsidRDefault="00F31AEA" w:rsidP="00F31AEA">
      <w:pPr>
        <w:pStyle w:val="Standard"/>
        <w:ind w:firstLine="397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0ADAB3D6" w14:textId="77777777" w:rsidR="00F31AEA" w:rsidRDefault="00F31AEA" w:rsidP="00F31AEA">
      <w:pPr>
        <w:pStyle w:val="Standard"/>
        <w:ind w:firstLine="397"/>
        <w:jc w:val="both"/>
        <w:rPr>
          <w:rFonts w:cs="Arial"/>
          <w:szCs w:val="20"/>
        </w:rPr>
      </w:pPr>
    </w:p>
    <w:p w14:paraId="0331D66A" w14:textId="77777777" w:rsidR="00F31AEA" w:rsidRDefault="00F31AEA" w:rsidP="00F31AEA">
      <w:pPr>
        <w:pStyle w:val="Standard"/>
        <w:spacing w:line="23" w:lineRule="atLeast"/>
        <w:rPr>
          <w:rFonts w:cs="Arial"/>
        </w:rPr>
      </w:pPr>
    </w:p>
    <w:p w14:paraId="29FB406E" w14:textId="77777777" w:rsidR="00F31AEA" w:rsidRDefault="00F31AEA" w:rsidP="00F31AEA">
      <w:pPr>
        <w:pStyle w:val="Standard"/>
        <w:spacing w:line="23" w:lineRule="atLeast"/>
        <w:rPr>
          <w:rFonts w:cs="Arial"/>
        </w:rPr>
      </w:pPr>
    </w:p>
    <w:p w14:paraId="26E37DFA" w14:textId="77777777" w:rsidR="00F31AEA" w:rsidRDefault="00F31AEA" w:rsidP="00F31AEA">
      <w:pPr>
        <w:pStyle w:val="Standard"/>
        <w:spacing w:line="23" w:lineRule="atLeast"/>
      </w:pPr>
    </w:p>
    <w:p w14:paraId="770A6E91" w14:textId="2D95B1ED" w:rsidR="00F31AEA" w:rsidRDefault="00F31AEA">
      <w:pPr>
        <w:pStyle w:val="Nagwekspisutreci"/>
      </w:pPr>
    </w:p>
    <w:sectPr w:rsidR="00F31AE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3820A" w14:textId="77777777" w:rsidR="003A0308" w:rsidRDefault="003A0308" w:rsidP="00A82D96">
      <w:r>
        <w:separator/>
      </w:r>
    </w:p>
  </w:endnote>
  <w:endnote w:type="continuationSeparator" w:id="0">
    <w:p w14:paraId="73F10B09" w14:textId="77777777" w:rsidR="003A0308" w:rsidRDefault="003A0308" w:rsidP="00A8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534125416"/>
      <w:docPartObj>
        <w:docPartGallery w:val="Page Numbers (Bottom of Page)"/>
        <w:docPartUnique/>
      </w:docPartObj>
    </w:sdtPr>
    <w:sdtContent>
      <w:p w14:paraId="0110E945" w14:textId="77777777" w:rsidR="00F31AEA" w:rsidRDefault="00F31AE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A82D96">
          <w:rPr>
            <w:rFonts w:asciiTheme="majorHAnsi" w:eastAsiaTheme="majorEastAsia" w:hAnsiTheme="majorHAnsi" w:cstheme="majorBidi"/>
            <w:szCs w:val="22"/>
          </w:rPr>
          <w:t xml:space="preserve">str. </w:t>
        </w:r>
        <w:r w:rsidRPr="00A82D96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A82D96">
          <w:rPr>
            <w:sz w:val="18"/>
            <w:szCs w:val="16"/>
          </w:rPr>
          <w:instrText>PAGE    \* MERGEFORMAT</w:instrText>
        </w:r>
        <w:r w:rsidRPr="00A82D96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184452" w:rsidRPr="00184452">
          <w:rPr>
            <w:rFonts w:asciiTheme="majorHAnsi" w:eastAsiaTheme="majorEastAsia" w:hAnsiTheme="majorHAnsi" w:cstheme="majorBidi"/>
            <w:noProof/>
            <w:szCs w:val="22"/>
          </w:rPr>
          <w:t>11</w:t>
        </w:r>
        <w:r w:rsidRPr="00A82D96">
          <w:rPr>
            <w:rFonts w:asciiTheme="majorHAnsi" w:eastAsiaTheme="majorEastAsia" w:hAnsiTheme="majorHAnsi" w:cstheme="majorBidi"/>
            <w:szCs w:val="22"/>
          </w:rPr>
          <w:fldChar w:fldCharType="end"/>
        </w:r>
      </w:p>
    </w:sdtContent>
  </w:sdt>
  <w:p w14:paraId="67A9EAAF" w14:textId="77777777" w:rsidR="00F31AEA" w:rsidRDefault="00F31A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BA9FD" w14:textId="77777777" w:rsidR="003A0308" w:rsidRDefault="003A0308" w:rsidP="00A82D96">
      <w:r>
        <w:separator/>
      </w:r>
    </w:p>
  </w:footnote>
  <w:footnote w:type="continuationSeparator" w:id="0">
    <w:p w14:paraId="0AA8167D" w14:textId="77777777" w:rsidR="003A0308" w:rsidRDefault="003A0308" w:rsidP="00A8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4722A"/>
    <w:multiLevelType w:val="hybridMultilevel"/>
    <w:tmpl w:val="E6A6EDB2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10E55041"/>
    <w:multiLevelType w:val="hybridMultilevel"/>
    <w:tmpl w:val="EE026C38"/>
    <w:lvl w:ilvl="0" w:tplc="B052CD78">
      <w:start w:val="1"/>
      <w:numFmt w:val="bullet"/>
      <w:lvlText w:val="·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97E4A"/>
    <w:multiLevelType w:val="multilevel"/>
    <w:tmpl w:val="4E30F8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C65132"/>
    <w:multiLevelType w:val="multilevel"/>
    <w:tmpl w:val="E8302BC2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6D165E"/>
    <w:multiLevelType w:val="multilevel"/>
    <w:tmpl w:val="B0AC6968"/>
    <w:styleLink w:val="WWNum3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5E56E01"/>
    <w:multiLevelType w:val="multilevel"/>
    <w:tmpl w:val="EB8877E6"/>
    <w:lvl w:ilvl="0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EF73C5"/>
    <w:multiLevelType w:val="hybridMultilevel"/>
    <w:tmpl w:val="292E1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15B2D"/>
    <w:multiLevelType w:val="hybridMultilevel"/>
    <w:tmpl w:val="0C5474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9C3F2F"/>
    <w:multiLevelType w:val="hybridMultilevel"/>
    <w:tmpl w:val="465213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2B00FD"/>
    <w:multiLevelType w:val="hybridMultilevel"/>
    <w:tmpl w:val="488E0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D2DC4"/>
    <w:multiLevelType w:val="multilevel"/>
    <w:tmpl w:val="E7043CA8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6"/>
  </w:num>
  <w:num w:numId="7">
    <w:abstractNumId w:val="10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  <w:num w:numId="12">
    <w:abstractNumId w:val="3"/>
  </w:num>
  <w:num w:numId="13">
    <w:abstractNumId w:val="9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86"/>
    <w:rsid w:val="00002186"/>
    <w:rsid w:val="00022563"/>
    <w:rsid w:val="00032691"/>
    <w:rsid w:val="00034D60"/>
    <w:rsid w:val="0006561A"/>
    <w:rsid w:val="00084868"/>
    <w:rsid w:val="00096FAE"/>
    <w:rsid w:val="000B5C49"/>
    <w:rsid w:val="000D723A"/>
    <w:rsid w:val="000F4E10"/>
    <w:rsid w:val="00111B2D"/>
    <w:rsid w:val="001127A6"/>
    <w:rsid w:val="0011622A"/>
    <w:rsid w:val="00117C61"/>
    <w:rsid w:val="001369E6"/>
    <w:rsid w:val="00145401"/>
    <w:rsid w:val="00146A82"/>
    <w:rsid w:val="0015614B"/>
    <w:rsid w:val="001562C0"/>
    <w:rsid w:val="0015711D"/>
    <w:rsid w:val="00176757"/>
    <w:rsid w:val="00177935"/>
    <w:rsid w:val="00184452"/>
    <w:rsid w:val="001B1826"/>
    <w:rsid w:val="0022372A"/>
    <w:rsid w:val="0022730A"/>
    <w:rsid w:val="00236895"/>
    <w:rsid w:val="00262D30"/>
    <w:rsid w:val="00290566"/>
    <w:rsid w:val="002945F1"/>
    <w:rsid w:val="002A7059"/>
    <w:rsid w:val="002D040B"/>
    <w:rsid w:val="003044FD"/>
    <w:rsid w:val="00306006"/>
    <w:rsid w:val="00314481"/>
    <w:rsid w:val="003161EE"/>
    <w:rsid w:val="00321808"/>
    <w:rsid w:val="00333CD5"/>
    <w:rsid w:val="003348E0"/>
    <w:rsid w:val="00346472"/>
    <w:rsid w:val="00372CFC"/>
    <w:rsid w:val="003A0308"/>
    <w:rsid w:val="003A1979"/>
    <w:rsid w:val="003A29CC"/>
    <w:rsid w:val="003A5AF0"/>
    <w:rsid w:val="003C6F1B"/>
    <w:rsid w:val="003D1F3D"/>
    <w:rsid w:val="003D57B9"/>
    <w:rsid w:val="003D5A59"/>
    <w:rsid w:val="003D6478"/>
    <w:rsid w:val="00400FE8"/>
    <w:rsid w:val="00420A80"/>
    <w:rsid w:val="00425186"/>
    <w:rsid w:val="00473C6A"/>
    <w:rsid w:val="0047627F"/>
    <w:rsid w:val="00481E7A"/>
    <w:rsid w:val="0048435E"/>
    <w:rsid w:val="004960B6"/>
    <w:rsid w:val="004A2C6D"/>
    <w:rsid w:val="004A6122"/>
    <w:rsid w:val="004D67AC"/>
    <w:rsid w:val="004D6C2E"/>
    <w:rsid w:val="004F03A1"/>
    <w:rsid w:val="004F5E32"/>
    <w:rsid w:val="00502F0B"/>
    <w:rsid w:val="00517F6A"/>
    <w:rsid w:val="005213AA"/>
    <w:rsid w:val="005233C0"/>
    <w:rsid w:val="005276A7"/>
    <w:rsid w:val="005369A3"/>
    <w:rsid w:val="005646B2"/>
    <w:rsid w:val="00573E48"/>
    <w:rsid w:val="00576060"/>
    <w:rsid w:val="005820FA"/>
    <w:rsid w:val="005B0318"/>
    <w:rsid w:val="005B2E67"/>
    <w:rsid w:val="005F5D15"/>
    <w:rsid w:val="00600486"/>
    <w:rsid w:val="00603C2A"/>
    <w:rsid w:val="006059A5"/>
    <w:rsid w:val="006265A4"/>
    <w:rsid w:val="00631D7F"/>
    <w:rsid w:val="0067346C"/>
    <w:rsid w:val="0067454C"/>
    <w:rsid w:val="00684441"/>
    <w:rsid w:val="006B051B"/>
    <w:rsid w:val="006E4858"/>
    <w:rsid w:val="006F18F1"/>
    <w:rsid w:val="006F6DE8"/>
    <w:rsid w:val="00705F21"/>
    <w:rsid w:val="00712437"/>
    <w:rsid w:val="00712F75"/>
    <w:rsid w:val="0071416C"/>
    <w:rsid w:val="007151D4"/>
    <w:rsid w:val="00720DF5"/>
    <w:rsid w:val="00730D21"/>
    <w:rsid w:val="00766CC2"/>
    <w:rsid w:val="00783E73"/>
    <w:rsid w:val="007845A2"/>
    <w:rsid w:val="007964B5"/>
    <w:rsid w:val="007B6F45"/>
    <w:rsid w:val="007E7478"/>
    <w:rsid w:val="007F0D59"/>
    <w:rsid w:val="00825043"/>
    <w:rsid w:val="00825A93"/>
    <w:rsid w:val="00865CD7"/>
    <w:rsid w:val="00874B79"/>
    <w:rsid w:val="00876CA2"/>
    <w:rsid w:val="00881A80"/>
    <w:rsid w:val="00886171"/>
    <w:rsid w:val="008B5BD5"/>
    <w:rsid w:val="008D1E38"/>
    <w:rsid w:val="008D7EF7"/>
    <w:rsid w:val="008E5B86"/>
    <w:rsid w:val="008E72C3"/>
    <w:rsid w:val="008F06B6"/>
    <w:rsid w:val="008F2B49"/>
    <w:rsid w:val="008F521B"/>
    <w:rsid w:val="008F7E59"/>
    <w:rsid w:val="00906216"/>
    <w:rsid w:val="00915AA6"/>
    <w:rsid w:val="00926714"/>
    <w:rsid w:val="00934C9B"/>
    <w:rsid w:val="009739C0"/>
    <w:rsid w:val="00984333"/>
    <w:rsid w:val="009D500B"/>
    <w:rsid w:val="009D5844"/>
    <w:rsid w:val="009D7571"/>
    <w:rsid w:val="009E6CF0"/>
    <w:rsid w:val="00A01C05"/>
    <w:rsid w:val="00A039FD"/>
    <w:rsid w:val="00A03EA0"/>
    <w:rsid w:val="00A20A53"/>
    <w:rsid w:val="00A21F19"/>
    <w:rsid w:val="00A66720"/>
    <w:rsid w:val="00A67CB2"/>
    <w:rsid w:val="00A82D96"/>
    <w:rsid w:val="00AA7BA9"/>
    <w:rsid w:val="00AC5570"/>
    <w:rsid w:val="00AD50CB"/>
    <w:rsid w:val="00AF76B4"/>
    <w:rsid w:val="00B02DDB"/>
    <w:rsid w:val="00B052D4"/>
    <w:rsid w:val="00B14747"/>
    <w:rsid w:val="00B44276"/>
    <w:rsid w:val="00B500F2"/>
    <w:rsid w:val="00B525A9"/>
    <w:rsid w:val="00B628A6"/>
    <w:rsid w:val="00B67969"/>
    <w:rsid w:val="00B739E4"/>
    <w:rsid w:val="00B81037"/>
    <w:rsid w:val="00BB16C5"/>
    <w:rsid w:val="00BC381A"/>
    <w:rsid w:val="00BE4887"/>
    <w:rsid w:val="00BE6EBC"/>
    <w:rsid w:val="00C32445"/>
    <w:rsid w:val="00C44F58"/>
    <w:rsid w:val="00C67848"/>
    <w:rsid w:val="00C84F34"/>
    <w:rsid w:val="00C95555"/>
    <w:rsid w:val="00CB7006"/>
    <w:rsid w:val="00CD298D"/>
    <w:rsid w:val="00CD5F31"/>
    <w:rsid w:val="00D001D4"/>
    <w:rsid w:val="00D126B6"/>
    <w:rsid w:val="00D56340"/>
    <w:rsid w:val="00D80212"/>
    <w:rsid w:val="00D9296E"/>
    <w:rsid w:val="00D92CE8"/>
    <w:rsid w:val="00D93384"/>
    <w:rsid w:val="00D976DB"/>
    <w:rsid w:val="00DC5C85"/>
    <w:rsid w:val="00DC61E6"/>
    <w:rsid w:val="00DD31C9"/>
    <w:rsid w:val="00DD4264"/>
    <w:rsid w:val="00DF3ACA"/>
    <w:rsid w:val="00E12573"/>
    <w:rsid w:val="00E27911"/>
    <w:rsid w:val="00E364F2"/>
    <w:rsid w:val="00E615B3"/>
    <w:rsid w:val="00E66362"/>
    <w:rsid w:val="00E907B3"/>
    <w:rsid w:val="00EB3856"/>
    <w:rsid w:val="00EC1E6E"/>
    <w:rsid w:val="00ED082B"/>
    <w:rsid w:val="00EE14AF"/>
    <w:rsid w:val="00EE590D"/>
    <w:rsid w:val="00EF7458"/>
    <w:rsid w:val="00F27E9F"/>
    <w:rsid w:val="00F31AEA"/>
    <w:rsid w:val="00F45A8B"/>
    <w:rsid w:val="00F54C98"/>
    <w:rsid w:val="00F6085B"/>
    <w:rsid w:val="00F7260B"/>
    <w:rsid w:val="00FA52CD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2360B"/>
  <w15:docId w15:val="{4F8AC9D5-E48F-4D99-87ED-F1CE36F3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186"/>
    <w:pPr>
      <w:spacing w:after="0" w:line="240" w:lineRule="auto"/>
      <w:jc w:val="both"/>
    </w:pPr>
    <w:rPr>
      <w:rFonts w:ascii="Calibri Light" w:eastAsia="Times New Roman" w:hAnsi="Calibri Light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2D96"/>
    <w:pPr>
      <w:keepNext/>
      <w:keepLines/>
      <w:numPr>
        <w:numId w:val="3"/>
      </w:numPr>
      <w:spacing w:before="240" w:line="360" w:lineRule="auto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2D96"/>
    <w:pPr>
      <w:keepNext/>
      <w:keepLines/>
      <w:numPr>
        <w:ilvl w:val="1"/>
        <w:numId w:val="3"/>
      </w:numPr>
      <w:spacing w:before="40" w:line="360" w:lineRule="auto"/>
      <w:outlineLvl w:val="1"/>
    </w:pPr>
    <w:rPr>
      <w:rFonts w:asciiTheme="majorHAnsi" w:eastAsiaTheme="majorEastAsia" w:hAnsiTheme="majorHAnsi" w:cstheme="majorBidi"/>
      <w:b/>
      <w:i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059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059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059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059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059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059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059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21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82D96"/>
    <w:rPr>
      <w:rFonts w:asciiTheme="majorHAnsi" w:eastAsiaTheme="majorEastAsia" w:hAnsiTheme="majorHAnsi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82D96"/>
    <w:rPr>
      <w:rFonts w:asciiTheme="majorHAnsi" w:eastAsiaTheme="majorEastAsia" w:hAnsiTheme="majorHAnsi" w:cstheme="majorBidi"/>
      <w:b/>
      <w:i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05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059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059"/>
    <w:rPr>
      <w:rFonts w:asciiTheme="majorHAnsi" w:eastAsiaTheme="majorEastAsia" w:hAnsiTheme="majorHAnsi" w:cstheme="majorBidi"/>
      <w:color w:val="2F5496" w:themeColor="accent1" w:themeShade="BF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059"/>
    <w:rPr>
      <w:rFonts w:asciiTheme="majorHAnsi" w:eastAsiaTheme="majorEastAsia" w:hAnsiTheme="majorHAnsi" w:cstheme="majorBidi"/>
      <w:color w:val="1F3763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059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0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numbering" w:customStyle="1" w:styleId="WWOutlineListStyle">
    <w:name w:val="WW_OutlineListStyle"/>
    <w:basedOn w:val="Bezlisty"/>
    <w:rsid w:val="00D126B6"/>
    <w:pPr>
      <w:numPr>
        <w:numId w:val="7"/>
      </w:numPr>
    </w:pPr>
  </w:style>
  <w:style w:type="paragraph" w:styleId="Tekstpodstawowy">
    <w:name w:val="Body Text"/>
    <w:basedOn w:val="Normalny"/>
    <w:link w:val="TekstpodstawowyZnak"/>
    <w:rsid w:val="008D1E38"/>
    <w:pPr>
      <w:widowControl w:val="0"/>
      <w:suppressAutoHyphens/>
      <w:autoSpaceDN w:val="0"/>
      <w:spacing w:after="120"/>
      <w:jc w:val="left"/>
    </w:pPr>
    <w:rPr>
      <w:rFonts w:ascii="Times New Roman" w:eastAsia="Lucida Sans Unicode" w:hAnsi="Times New Roman"/>
      <w:sz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8D1E38"/>
    <w:rPr>
      <w:rFonts w:ascii="Times New Roman" w:eastAsia="Lucida Sans Unicode" w:hAnsi="Times New Roman" w:cs="Times New Roman"/>
      <w:sz w:val="24"/>
      <w:szCs w:val="20"/>
      <w:lang w:val="en-US" w:eastAsia="pl-PL"/>
    </w:rPr>
  </w:style>
  <w:style w:type="table" w:styleId="Tabela-Siatka">
    <w:name w:val="Table Grid"/>
    <w:basedOn w:val="Standardowy"/>
    <w:uiPriority w:val="39"/>
    <w:rsid w:val="003D5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82D96"/>
    <w:pPr>
      <w:numPr>
        <w:numId w:val="0"/>
      </w:numPr>
      <w:spacing w:line="259" w:lineRule="auto"/>
      <w:jc w:val="left"/>
      <w:outlineLvl w:val="9"/>
    </w:pPr>
    <w:rPr>
      <w:color w:val="2F5496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82D9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82D9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82D9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2D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D96"/>
    <w:rPr>
      <w:rFonts w:ascii="Calibri Light" w:eastAsia="Times New Roman" w:hAnsi="Calibri Light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D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D96"/>
    <w:rPr>
      <w:rFonts w:ascii="Calibri Light" w:eastAsia="Times New Roman" w:hAnsi="Calibri Light" w:cs="Times New Roman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F7E59"/>
    <w:rPr>
      <w:rFonts w:ascii="Calibri Light" w:eastAsia="Times New Roman" w:hAnsi="Calibri Light" w:cs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BD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BD5"/>
    <w:rPr>
      <w:rFonts w:ascii="Calibri Light" w:eastAsia="Times New Roman" w:hAnsi="Calibri Light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BD5"/>
    <w:rPr>
      <w:vertAlign w:val="superscript"/>
    </w:rPr>
  </w:style>
  <w:style w:type="paragraph" w:styleId="Spistreci3">
    <w:name w:val="toc 3"/>
    <w:basedOn w:val="Normalny"/>
    <w:next w:val="Normalny"/>
    <w:autoRedefine/>
    <w:uiPriority w:val="39"/>
    <w:unhideWhenUsed/>
    <w:rsid w:val="007964B5"/>
    <w:pPr>
      <w:spacing w:after="100"/>
      <w:ind w:left="440"/>
    </w:pPr>
  </w:style>
  <w:style w:type="paragraph" w:customStyle="1" w:styleId="Standard">
    <w:name w:val="Standard"/>
    <w:rsid w:val="00F31AEA"/>
    <w:pPr>
      <w:suppressAutoHyphens/>
      <w:autoSpaceDN w:val="0"/>
      <w:spacing w:after="0" w:line="36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rsid w:val="00F31AEA"/>
    <w:pPr>
      <w:tabs>
        <w:tab w:val="left" w:pos="284"/>
        <w:tab w:val="left" w:pos="567"/>
        <w:tab w:val="left" w:pos="851"/>
        <w:tab w:val="left" w:pos="1134"/>
        <w:tab w:val="left" w:pos="1418"/>
      </w:tabs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31AEA"/>
    <w:rPr>
      <w:rFonts w:ascii="Arial" w:eastAsia="Times New Roman" w:hAnsi="Arial" w:cs="Times New Roman"/>
      <w:kern w:val="3"/>
      <w:sz w:val="20"/>
      <w:szCs w:val="20"/>
      <w:lang w:eastAsia="pl-PL"/>
    </w:rPr>
  </w:style>
  <w:style w:type="numbering" w:customStyle="1" w:styleId="WWNum3">
    <w:name w:val="WWNum3"/>
    <w:basedOn w:val="Bezlisty"/>
    <w:rsid w:val="00F31AEA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#_Toc12002236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3CBA-886D-46C6-AFBB-9FE509B6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2780</Words>
  <Characters>16685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S</dc:creator>
  <cp:keywords/>
  <dc:description/>
  <cp:lastModifiedBy>Konto Microsoft</cp:lastModifiedBy>
  <cp:revision>3</cp:revision>
  <cp:lastPrinted>2025-02-21T21:03:00Z</cp:lastPrinted>
  <dcterms:created xsi:type="dcterms:W3CDTF">2025-02-21T21:03:00Z</dcterms:created>
  <dcterms:modified xsi:type="dcterms:W3CDTF">2025-02-21T21:04:00Z</dcterms:modified>
</cp:coreProperties>
</file>