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8640" w:type="dxa"/>
        <w:jc w:val="left"/>
        <w:tblInd w:w="67" w:type="dxa"/>
        <w:tblLayout w:type="fixed"/>
        <w:tblCellMar>
          <w:top w:w="0" w:type="dxa"/>
          <w:left w:w="60" w:type="dxa"/>
          <w:bottom w:w="0" w:type="dxa"/>
          <w:right w:w="60" w:type="dxa"/>
        </w:tblCellMar>
        <w:tblLook w:firstRow="0" w:noVBand="0" w:lastRow="0" w:firstColumn="0" w:lastColumn="0" w:noHBand="0" w:val="0000"/>
      </w:tblPr>
      <w:tblGrid>
        <w:gridCol w:w="4891"/>
        <w:gridCol w:w="3748"/>
      </w:tblGrid>
      <w:tr>
        <w:trPr>
          <w:trHeight w:val="480" w:hRule="atLeast"/>
        </w:trPr>
        <w:tc>
          <w:tcPr>
            <w:tcW w:w="4891" w:type="dxa"/>
            <w:tcBorders>
              <w:top w:val="single" w:sz="6" w:space="0" w:color="000000"/>
              <w:left w:val="single" w:sz="6" w:space="0" w:color="000000"/>
              <w:bottom w:val="single" w:sz="6" w:space="0" w:color="000000"/>
            </w:tcBorders>
          </w:tcPr>
          <w:p>
            <w:pPr>
              <w:pStyle w:val="Normal"/>
              <w:widowControl w:val="false"/>
              <w:jc w:val="both"/>
              <w:rPr>
                <w:rFonts w:ascii="Tahoma" w:hAnsi="Tahoma" w:eastAsia="Tahoma"/>
                <w:sz w:val="20"/>
                <w:szCs w:val="20"/>
                <w:lang w:val="en-US"/>
              </w:rPr>
            </w:pPr>
            <w:r>
              <w:rPr>
                <w:rFonts w:eastAsia="Tahoma" w:ascii="Tahoma" w:hAnsi="Tahoma"/>
                <w:sz w:val="20"/>
                <w:szCs w:val="20"/>
                <w:lang w:val="en-US"/>
              </w:rPr>
              <w:t>Lokal:</w:t>
            </w:r>
          </w:p>
          <w:p>
            <w:pPr>
              <w:pStyle w:val="Normal"/>
              <w:widowControl w:val="false"/>
              <w:rPr>
                <w:rFonts w:ascii="Tahoma" w:hAnsi="Tahoma" w:eastAsia="Tahoma"/>
                <w:sz w:val="20"/>
                <w:szCs w:val="20"/>
                <w:lang w:val="en-US"/>
              </w:rPr>
            </w:pPr>
            <w:r>
              <w:rPr>
                <w:rFonts w:eastAsia="Tahoma" w:ascii="Tahoma" w:hAnsi="Tahoma"/>
                <w:b/>
                <w:bCs/>
                <w:sz w:val="20"/>
                <w:szCs w:val="20"/>
                <w:lang w:val="en-US"/>
              </w:rPr>
              <w:t>lokal 0.11</w:t>
            </w:r>
          </w:p>
        </w:tc>
        <w:tc>
          <w:tcPr>
            <w:tcW w:w="3748" w:type="dxa"/>
            <w:vMerge w:val="restart"/>
            <w:tcBorders>
              <w:top w:val="single" w:sz="6" w:space="0" w:color="000000"/>
              <w:left w:val="single" w:sz="6" w:space="0" w:color="000000"/>
              <w:right w:val="single" w:sz="6" w:space="0" w:color="000000"/>
            </w:tcBorders>
          </w:tcPr>
          <w:p>
            <w:pPr>
              <w:pStyle w:val="Normal"/>
              <w:widowControl w:val="false"/>
              <w:jc w:val="right"/>
              <w:rPr>
                <w:rFonts w:ascii="Tahoma" w:hAnsi="Tahoma" w:eastAsia="Tahoma"/>
                <w:sz w:val="20"/>
                <w:szCs w:val="20"/>
              </w:rPr>
            </w:pPr>
            <w:r>
              <w:rPr>
                <w:rFonts w:eastAsia="Tahoma" w:ascii="Tahoma" w:hAnsi="Tahoma"/>
                <w:sz w:val="20"/>
                <w:szCs w:val="20"/>
              </w:rPr>
              <w:t>jednostka projektowa:</w:t>
            </w:r>
          </w:p>
          <w:p>
            <w:pPr>
              <w:pStyle w:val="Normal"/>
              <w:widowControl w:val="false"/>
              <w:jc w:val="both"/>
              <w:rPr>
                <w:rFonts w:ascii="Tahoma" w:hAnsi="Tahoma" w:eastAsia="Tahoma"/>
                <w:sz w:val="20"/>
                <w:szCs w:val="20"/>
              </w:rPr>
            </w:pPr>
            <w:r>
              <w:rPr>
                <w:rFonts w:eastAsia="Tahoma" w:ascii="Tahoma" w:hAnsi="Tahoma"/>
                <w:sz w:val="20"/>
                <w:szCs w:val="20"/>
              </w:rPr>
            </w:r>
          </w:p>
          <w:p>
            <w:pPr>
              <w:pStyle w:val="Normal"/>
              <w:widowControl w:val="false"/>
              <w:tabs>
                <w:tab w:val="clear" w:pos="708"/>
                <w:tab w:val="left" w:pos="9363" w:leader="none"/>
              </w:tabs>
              <w:ind w:right="-3" w:hanging="0"/>
              <w:jc w:val="right"/>
              <w:rPr>
                <w:rFonts w:ascii="Tahoma" w:hAnsi="Tahoma" w:eastAsia="Tahoma"/>
                <w:sz w:val="20"/>
                <w:szCs w:val="20"/>
              </w:rPr>
            </w:pPr>
            <w:r>
              <w:rPr>
                <w:rFonts w:eastAsia="Tahoma" w:ascii="Tahoma" w:hAnsi="Tahoma"/>
                <w:b/>
                <w:bCs/>
                <w:sz w:val="20"/>
                <w:szCs w:val="20"/>
              </w:rPr>
              <w:t>VECTOR KRZYSTOF STASIAK  DORADZTWO i ZARZĄDZANIE</w:t>
            </w:r>
            <w:r>
              <w:rPr/>
              <w:br/>
              <w:br/>
            </w:r>
            <w:r>
              <w:rPr>
                <w:rFonts w:eastAsia="Tahoma" w:ascii="Tahoma" w:hAnsi="Tahoma"/>
                <w:b/>
                <w:bCs/>
                <w:sz w:val="20"/>
                <w:szCs w:val="20"/>
              </w:rPr>
              <w:t>ul.Bernardyńska 1A, lok.74,</w:t>
            </w:r>
            <w:r>
              <w:rPr/>
              <w:br/>
            </w:r>
            <w:r>
              <w:rPr>
                <w:rFonts w:eastAsia="Tahoma" w:ascii="Tahoma" w:hAnsi="Tahoma"/>
                <w:b/>
                <w:bCs/>
                <w:sz w:val="20"/>
                <w:szCs w:val="20"/>
              </w:rPr>
              <w:t>02-904, Warszawa</w:t>
            </w:r>
          </w:p>
        </w:tc>
      </w:tr>
      <w:tr>
        <w:trPr>
          <w:trHeight w:val="1275" w:hRule="atLeast"/>
        </w:trPr>
        <w:tc>
          <w:tcPr>
            <w:tcW w:w="4891" w:type="dxa"/>
            <w:tcBorders>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Lokalizacja obiektu:</w:t>
            </w:r>
          </w:p>
          <w:p>
            <w:pPr>
              <w:pStyle w:val="Normal"/>
              <w:widowControl w:val="false"/>
              <w:jc w:val="both"/>
              <w:rPr>
                <w:rFonts w:ascii="Tahoma" w:hAnsi="Tahoma" w:eastAsia="Tahoma"/>
                <w:b/>
                <w:bCs/>
                <w:sz w:val="20"/>
                <w:szCs w:val="20"/>
              </w:rPr>
            </w:pPr>
            <w:r>
              <w:rPr>
                <w:rFonts w:eastAsia="Tahoma" w:ascii="Tahoma" w:hAnsi="Tahoma"/>
                <w:b/>
                <w:bCs/>
                <w:sz w:val="20"/>
                <w:szCs w:val="20"/>
              </w:rPr>
              <w:t>Budynek handlowy zlokalizowany</w:t>
            </w:r>
          </w:p>
          <w:p>
            <w:pPr>
              <w:pStyle w:val="Normal"/>
              <w:widowControl w:val="false"/>
              <w:jc w:val="both"/>
              <w:rPr>
                <w:rFonts w:ascii="Tahoma" w:hAnsi="Tahoma" w:eastAsia="Tahoma"/>
                <w:b/>
                <w:bCs/>
                <w:sz w:val="20"/>
                <w:szCs w:val="20"/>
              </w:rPr>
            </w:pPr>
            <w:r>
              <w:rPr>
                <w:rFonts w:eastAsia="Tahoma" w:ascii="Tahoma" w:hAnsi="Tahoma"/>
                <w:b/>
                <w:bCs/>
                <w:sz w:val="20"/>
                <w:szCs w:val="20"/>
              </w:rPr>
              <w:t>w Bielsku-Białej (43-300)</w:t>
            </w:r>
          </w:p>
          <w:p>
            <w:pPr>
              <w:pStyle w:val="Normal"/>
              <w:widowControl w:val="false"/>
              <w:jc w:val="both"/>
              <w:rPr>
                <w:rFonts w:ascii="Tahoma" w:hAnsi="Tahoma" w:eastAsia="Tahoma"/>
                <w:b/>
                <w:bCs/>
                <w:sz w:val="20"/>
                <w:szCs w:val="20"/>
              </w:rPr>
            </w:pPr>
            <w:r>
              <w:rPr>
                <w:rFonts w:eastAsia="Tahoma" w:ascii="Tahoma" w:hAnsi="Tahoma"/>
                <w:b/>
                <w:bCs/>
                <w:sz w:val="20"/>
                <w:szCs w:val="20"/>
              </w:rPr>
              <w:t>przy ul. Warszawskiej 180</w:t>
            </w:r>
          </w:p>
          <w:p>
            <w:pPr>
              <w:pStyle w:val="Normal"/>
              <w:widowControl w:val="false"/>
              <w:jc w:val="both"/>
              <w:rPr>
                <w:rFonts w:ascii="Tahoma" w:hAnsi="Tahoma" w:eastAsia="Tahoma"/>
                <w:b/>
                <w:bCs/>
                <w:sz w:val="20"/>
                <w:szCs w:val="20"/>
              </w:rPr>
            </w:pPr>
            <w:r>
              <w:rPr>
                <w:rFonts w:eastAsia="Tahoma" w:ascii="Tahoma" w:hAnsi="Tahoma"/>
                <w:b/>
                <w:bCs/>
                <w:sz w:val="20"/>
                <w:szCs w:val="20"/>
              </w:rPr>
            </w:r>
          </w:p>
        </w:tc>
        <w:tc>
          <w:tcPr>
            <w:tcW w:w="3748" w:type="dxa"/>
            <w:vMerge w:val="continue"/>
            <w:tcBorders>
              <w:left w:val="single" w:sz="6" w:space="0" w:color="000000"/>
              <w:right w:val="single" w:sz="6" w:space="0" w:color="000000"/>
            </w:tcBorders>
            <w:tcMar>
              <w:left w:w="108" w:type="dxa"/>
              <w:right w:w="108" w:type="dxa"/>
            </w:tcMar>
            <w:vAlign w:val="center"/>
          </w:tcPr>
          <w:p>
            <w:pPr>
              <w:pStyle w:val="Normal"/>
              <w:widowControl w:val="false"/>
              <w:rPr/>
            </w:pPr>
            <w:r>
              <w:rPr/>
            </w:r>
          </w:p>
        </w:tc>
      </w:tr>
      <w:tr>
        <w:trPr>
          <w:trHeight w:val="1110" w:hRule="atLeast"/>
        </w:trPr>
        <w:tc>
          <w:tcPr>
            <w:tcW w:w="4891" w:type="dxa"/>
            <w:tcBorders>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Inwestor:</w:t>
            </w:r>
          </w:p>
          <w:p>
            <w:pPr>
              <w:pStyle w:val="Normal"/>
              <w:widowControl w:val="false"/>
              <w:jc w:val="both"/>
              <w:rPr>
                <w:rFonts w:ascii="Tahoma" w:hAnsi="Tahoma" w:eastAsia="Tahoma"/>
                <w:b/>
                <w:bCs/>
                <w:sz w:val="20"/>
                <w:szCs w:val="20"/>
              </w:rPr>
            </w:pPr>
            <w:r>
              <w:rPr>
                <w:rFonts w:eastAsia="Tahoma" w:ascii="Tahoma" w:hAnsi="Tahoma"/>
                <w:b/>
                <w:bCs/>
                <w:sz w:val="20"/>
                <w:szCs w:val="20"/>
              </w:rPr>
              <w:t>Redkom Park Bielsko Sp. z o. o.</w:t>
            </w:r>
          </w:p>
          <w:p>
            <w:pPr>
              <w:pStyle w:val="Normal"/>
              <w:widowControl w:val="false"/>
              <w:jc w:val="both"/>
              <w:rPr>
                <w:rFonts w:ascii="Tahoma" w:hAnsi="Tahoma" w:eastAsia="Tahoma"/>
                <w:b/>
                <w:bCs/>
                <w:sz w:val="20"/>
                <w:szCs w:val="20"/>
              </w:rPr>
            </w:pPr>
            <w:r>
              <w:rPr>
                <w:rFonts w:eastAsia="Tahoma" w:ascii="Tahoma" w:hAnsi="Tahoma"/>
                <w:b/>
                <w:bCs/>
                <w:sz w:val="20"/>
                <w:szCs w:val="20"/>
              </w:rPr>
              <w:t>Ul. Słoneczna 116A 05-500 Stara Iwiczna</w:t>
            </w:r>
          </w:p>
          <w:p>
            <w:pPr>
              <w:pStyle w:val="Normal"/>
              <w:widowControl w:val="false"/>
              <w:jc w:val="both"/>
              <w:rPr>
                <w:rFonts w:ascii="Tahoma" w:hAnsi="Tahoma" w:eastAsia="Tahoma"/>
                <w:b/>
                <w:bCs/>
                <w:sz w:val="20"/>
                <w:szCs w:val="20"/>
              </w:rPr>
            </w:pPr>
            <w:r>
              <w:rPr>
                <w:rFonts w:eastAsia="Tahoma" w:ascii="Tahoma" w:hAnsi="Tahoma"/>
                <w:b/>
                <w:bCs/>
                <w:sz w:val="20"/>
                <w:szCs w:val="20"/>
              </w:rPr>
              <w:t>NIP: 1231527802</w:t>
            </w:r>
          </w:p>
        </w:tc>
        <w:tc>
          <w:tcPr>
            <w:tcW w:w="3748" w:type="dxa"/>
            <w:vMerge w:val="continue"/>
            <w:tcBorders>
              <w:left w:val="single" w:sz="6" w:space="0" w:color="000000"/>
              <w:right w:val="single" w:sz="6" w:space="0" w:color="000000"/>
            </w:tcBorders>
            <w:tcMar>
              <w:left w:w="108" w:type="dxa"/>
              <w:right w:w="108" w:type="dxa"/>
            </w:tcMar>
            <w:vAlign w:val="center"/>
          </w:tcPr>
          <w:p>
            <w:pPr>
              <w:pStyle w:val="Normal"/>
              <w:widowControl w:val="false"/>
              <w:rPr/>
            </w:pPr>
            <w:r>
              <w:rPr/>
            </w:r>
          </w:p>
        </w:tc>
      </w:tr>
      <w:tr>
        <w:trPr>
          <w:trHeight w:val="945" w:hRule="atLeast"/>
        </w:trPr>
        <w:tc>
          <w:tcPr>
            <w:tcW w:w="4891" w:type="dxa"/>
            <w:tcBorders>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temat:</w:t>
            </w:r>
          </w:p>
          <w:p>
            <w:pPr>
              <w:pStyle w:val="Normal"/>
              <w:widowControl w:val="false"/>
              <w:rPr>
                <w:rFonts w:ascii="Tahoma" w:hAnsi="Tahoma" w:eastAsia="Tahoma"/>
                <w:sz w:val="20"/>
                <w:szCs w:val="20"/>
              </w:rPr>
            </w:pPr>
            <w:r>
              <w:rPr>
                <w:rFonts w:eastAsia="Tahoma" w:ascii="Tahoma" w:hAnsi="Tahoma"/>
                <w:b/>
                <w:bCs/>
                <w:sz w:val="20"/>
                <w:szCs w:val="20"/>
              </w:rPr>
              <w:t>OPIS TECHNICZNY</w:t>
            </w:r>
          </w:p>
        </w:tc>
        <w:tc>
          <w:tcPr>
            <w:tcW w:w="3748" w:type="dxa"/>
            <w:vMerge w:val="continue"/>
            <w:tcBorders>
              <w:left w:val="single" w:sz="6" w:space="0" w:color="000000"/>
              <w:right w:val="single" w:sz="6" w:space="0" w:color="000000"/>
            </w:tcBorders>
            <w:tcMar>
              <w:left w:w="108" w:type="dxa"/>
              <w:right w:w="108" w:type="dxa"/>
            </w:tcMar>
            <w:vAlign w:val="center"/>
          </w:tcPr>
          <w:p>
            <w:pPr>
              <w:pStyle w:val="Normal"/>
              <w:widowControl w:val="false"/>
              <w:rPr/>
            </w:pPr>
            <w:r>
              <w:rPr/>
            </w:r>
          </w:p>
        </w:tc>
      </w:tr>
      <w:tr>
        <w:trPr>
          <w:trHeight w:val="585" w:hRule="atLeast"/>
        </w:trPr>
        <w:tc>
          <w:tcPr>
            <w:tcW w:w="4891" w:type="dxa"/>
            <w:tcBorders>
              <w:left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branża:</w:t>
            </w:r>
          </w:p>
          <w:p>
            <w:pPr>
              <w:pStyle w:val="Normal"/>
              <w:widowControl w:val="false"/>
              <w:jc w:val="both"/>
              <w:rPr>
                <w:rFonts w:ascii="Tahoma" w:hAnsi="Tahoma" w:eastAsia="Tahoma"/>
                <w:sz w:val="20"/>
                <w:szCs w:val="20"/>
              </w:rPr>
            </w:pPr>
            <w:r>
              <w:rPr>
                <w:rFonts w:eastAsia="Tahoma" w:ascii="Tahoma" w:hAnsi="Tahoma"/>
                <w:b/>
                <w:bCs/>
                <w:sz w:val="20"/>
                <w:szCs w:val="20"/>
              </w:rPr>
              <w:t>architektura</w:t>
            </w:r>
          </w:p>
        </w:tc>
        <w:tc>
          <w:tcPr>
            <w:tcW w:w="3748" w:type="dxa"/>
            <w:vMerge w:val="continue"/>
            <w:tcBorders>
              <w:left w:val="single" w:sz="6" w:space="0" w:color="000000"/>
              <w:right w:val="single" w:sz="6" w:space="0" w:color="000000"/>
            </w:tcBorders>
            <w:tcMar>
              <w:left w:w="108" w:type="dxa"/>
              <w:right w:w="108" w:type="dxa"/>
            </w:tcMar>
            <w:vAlign w:val="center"/>
          </w:tcPr>
          <w:p>
            <w:pPr>
              <w:pStyle w:val="Normal"/>
              <w:widowControl w:val="false"/>
              <w:rPr/>
            </w:pPr>
            <w:r>
              <w:rPr/>
            </w:r>
          </w:p>
        </w:tc>
      </w:tr>
      <w:tr>
        <w:trPr>
          <w:trHeight w:val="465" w:hRule="atLeast"/>
        </w:trPr>
        <w:tc>
          <w:tcPr>
            <w:tcW w:w="4891" w:type="dxa"/>
            <w:tcBorders>
              <w:top w:val="single" w:sz="6" w:space="0" w:color="000000"/>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stadium:</w:t>
            </w:r>
          </w:p>
          <w:p>
            <w:pPr>
              <w:pStyle w:val="Normal"/>
              <w:widowControl w:val="false"/>
              <w:jc w:val="both"/>
              <w:rPr>
                <w:rFonts w:ascii="Tahoma" w:hAnsi="Tahoma" w:eastAsia="Tahoma"/>
                <w:sz w:val="20"/>
                <w:szCs w:val="20"/>
              </w:rPr>
            </w:pPr>
            <w:r>
              <w:rPr>
                <w:rFonts w:eastAsia="Tahoma" w:ascii="Tahoma" w:hAnsi="Tahoma"/>
                <w:b/>
                <w:bCs/>
                <w:sz w:val="20"/>
                <w:szCs w:val="20"/>
              </w:rPr>
              <w:t>projekt techniczny (PT)</w:t>
            </w:r>
          </w:p>
        </w:tc>
        <w:tc>
          <w:tcPr>
            <w:tcW w:w="3748" w:type="dxa"/>
            <w:tcBorders>
              <w:top w:val="single" w:sz="6" w:space="0" w:color="000000"/>
              <w:left w:val="single" w:sz="6" w:space="0" w:color="000000"/>
              <w:bottom w:val="single" w:sz="6" w:space="0" w:color="000000"/>
              <w:right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nr projektu:</w:t>
            </w:r>
          </w:p>
          <w:p>
            <w:pPr>
              <w:pStyle w:val="Normal"/>
              <w:widowControl w:val="false"/>
              <w:jc w:val="right"/>
              <w:rPr/>
            </w:pPr>
            <w:r>
              <w:rPr>
                <w:rFonts w:eastAsia="Tahoma" w:ascii="Tahoma" w:hAnsi="Tahoma"/>
                <w:b/>
                <w:bCs/>
                <w:sz w:val="20"/>
                <w:szCs w:val="20"/>
              </w:rPr>
              <w:t>MW BIELSKO BIAŁA/ 2024</w:t>
            </w:r>
          </w:p>
        </w:tc>
      </w:tr>
      <w:tr>
        <w:trPr>
          <w:trHeight w:val="495" w:hRule="atLeast"/>
        </w:trPr>
        <w:tc>
          <w:tcPr>
            <w:tcW w:w="4891" w:type="dxa"/>
            <w:tcBorders>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r>
          </w:p>
        </w:tc>
        <w:tc>
          <w:tcPr>
            <w:tcW w:w="3748" w:type="dxa"/>
            <w:tcBorders>
              <w:left w:val="single" w:sz="6" w:space="0" w:color="000000"/>
              <w:bottom w:val="single" w:sz="6" w:space="0" w:color="000000"/>
              <w:right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tom:</w:t>
            </w:r>
          </w:p>
          <w:p>
            <w:pPr>
              <w:pStyle w:val="Normal"/>
              <w:widowControl w:val="false"/>
              <w:jc w:val="right"/>
              <w:rPr>
                <w:rFonts w:ascii="Tahoma" w:hAnsi="Tahoma" w:eastAsia="Tahoma"/>
                <w:sz w:val="20"/>
                <w:szCs w:val="20"/>
              </w:rPr>
            </w:pPr>
            <w:r>
              <w:rPr>
                <w:rFonts w:eastAsia="Tahoma" w:ascii="Tahoma" w:hAnsi="Tahoma"/>
                <w:sz w:val="20"/>
                <w:szCs w:val="20"/>
              </w:rPr>
            </w:r>
          </w:p>
        </w:tc>
      </w:tr>
    </w:tbl>
    <w:p>
      <w:pPr>
        <w:pStyle w:val="Normal"/>
        <w:rPr>
          <w:rFonts w:eastAsia="Times New Roman" w:cs="Times New Roman"/>
          <w:sz w:val="20"/>
          <w:szCs w:val="20"/>
        </w:rPr>
      </w:pPr>
      <w:r>
        <w:rPr>
          <w:rFonts w:eastAsia="Times New Roman" w:cs="Times New Roman"/>
          <w:sz w:val="20"/>
          <w:szCs w:val="20"/>
        </w:rPr>
      </w:r>
    </w:p>
    <w:p>
      <w:pPr>
        <w:pStyle w:val="Normal"/>
        <w:jc w:val="both"/>
        <w:rPr>
          <w:rFonts w:ascii="Tahoma" w:hAnsi="Tahoma" w:eastAsia="Tahoma"/>
          <w:sz w:val="20"/>
          <w:szCs w:val="20"/>
        </w:rPr>
      </w:pPr>
      <w:r>
        <w:rPr>
          <w:rFonts w:eastAsia="Tahoma" w:ascii="Tahoma" w:hAnsi="Tahoma"/>
          <w:b/>
          <w:bCs/>
          <w:sz w:val="20"/>
          <w:szCs w:val="20"/>
        </w:rPr>
        <w:t xml:space="preserve">                       </w:t>
      </w:r>
    </w:p>
    <w:p>
      <w:pPr>
        <w:pStyle w:val="Normal"/>
        <w:jc w:val="both"/>
        <w:rPr>
          <w:rFonts w:ascii="Tahoma" w:hAnsi="Tahoma" w:eastAsia="Tahoma"/>
          <w:sz w:val="20"/>
          <w:szCs w:val="20"/>
        </w:rPr>
      </w:pPr>
      <w:r>
        <w:rPr>
          <w:rFonts w:eastAsia="Tahoma" w:ascii="Tahoma" w:hAnsi="Tahoma"/>
          <w:b/>
          <w:bCs/>
          <w:sz w:val="20"/>
          <w:szCs w:val="20"/>
        </w:rPr>
        <w:t xml:space="preserve"> </w:t>
      </w:r>
    </w:p>
    <w:tbl>
      <w:tblPr>
        <w:tblW w:w="8640" w:type="dxa"/>
        <w:jc w:val="left"/>
        <w:tblInd w:w="37" w:type="dxa"/>
        <w:tblLayout w:type="fixed"/>
        <w:tblCellMar>
          <w:top w:w="0" w:type="dxa"/>
          <w:left w:w="15" w:type="dxa"/>
          <w:bottom w:w="0" w:type="dxa"/>
          <w:right w:w="15" w:type="dxa"/>
        </w:tblCellMar>
        <w:tblLook w:firstRow="0" w:noVBand="0" w:lastRow="0" w:firstColumn="0" w:lastColumn="0" w:noHBand="0" w:val="0000"/>
      </w:tblPr>
      <w:tblGrid>
        <w:gridCol w:w="495"/>
        <w:gridCol w:w="525"/>
        <w:gridCol w:w="2740"/>
        <w:gridCol w:w="2313"/>
        <w:gridCol w:w="2567"/>
      </w:tblGrid>
      <w:tr>
        <w:trPr>
          <w:trHeight w:val="225" w:hRule="atLeast"/>
        </w:trPr>
        <w:tc>
          <w:tcPr>
            <w:tcW w:w="1020" w:type="dxa"/>
            <w:gridSpan w:val="2"/>
            <w:tcBorders>
              <w:top w:val="single" w:sz="6" w:space="0" w:color="000000"/>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branża</w:t>
            </w:r>
          </w:p>
        </w:tc>
        <w:tc>
          <w:tcPr>
            <w:tcW w:w="2740" w:type="dxa"/>
            <w:tcBorders>
              <w:top w:val="single" w:sz="6" w:space="0" w:color="000000"/>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imię, nazwisko</w:t>
            </w:r>
          </w:p>
        </w:tc>
        <w:tc>
          <w:tcPr>
            <w:tcW w:w="2313" w:type="dxa"/>
            <w:tcBorders>
              <w:top w:val="single" w:sz="6" w:space="0" w:color="000000"/>
              <w:left w:val="single" w:sz="6" w:space="0" w:color="000000"/>
              <w:bottom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nr uprawnień</w:t>
            </w:r>
          </w:p>
        </w:tc>
        <w:tc>
          <w:tcPr>
            <w:tcW w:w="2567" w:type="dxa"/>
            <w:tcBorders>
              <w:top w:val="single" w:sz="6" w:space="0" w:color="000000"/>
              <w:left w:val="single" w:sz="6" w:space="0" w:color="000000"/>
              <w:bottom w:val="single" w:sz="6" w:space="0" w:color="000000"/>
              <w:right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t>podpis</w:t>
            </w:r>
          </w:p>
        </w:tc>
      </w:tr>
      <w:tr>
        <w:trPr>
          <w:trHeight w:val="847" w:hRule="atLeast"/>
        </w:trPr>
        <w:tc>
          <w:tcPr>
            <w:tcW w:w="495" w:type="dxa"/>
            <w:tcBorders>
              <w:top w:val="single" w:sz="6" w:space="0" w:color="000000"/>
              <w:left w:val="single" w:sz="6" w:space="0" w:color="000000"/>
              <w:bottom w:val="single" w:sz="6" w:space="0" w:color="000000"/>
            </w:tcBorders>
          </w:tcPr>
          <w:p>
            <w:pPr>
              <w:pStyle w:val="Normal"/>
              <w:widowControl w:val="false"/>
              <w:ind w:left="113" w:right="113" w:hanging="0"/>
              <w:jc w:val="center"/>
              <w:rPr>
                <w:rFonts w:ascii="Tahoma" w:hAnsi="Tahoma" w:eastAsia="Tahoma"/>
                <w:sz w:val="16"/>
                <w:szCs w:val="16"/>
              </w:rPr>
            </w:pPr>
            <w:r>
              <w:rPr>
                <w:rFonts w:eastAsia="Tahoma" w:ascii="Tahoma" w:hAnsi="Tahoma"/>
                <w:sz w:val="16"/>
                <w:szCs w:val="16"/>
              </w:rPr>
              <w:t>Architektura</w:t>
            </w:r>
          </w:p>
        </w:tc>
        <w:tc>
          <w:tcPr>
            <w:tcW w:w="525" w:type="dxa"/>
            <w:tcBorders>
              <w:top w:val="single" w:sz="6" w:space="0" w:color="000000"/>
              <w:left w:val="single" w:sz="6" w:space="0" w:color="000000"/>
              <w:bottom w:val="single" w:sz="6" w:space="0" w:color="000000"/>
            </w:tcBorders>
          </w:tcPr>
          <w:p>
            <w:pPr>
              <w:pStyle w:val="Normal"/>
              <w:widowControl w:val="false"/>
              <w:ind w:left="113" w:right="113" w:hanging="0"/>
              <w:jc w:val="both"/>
              <w:rPr>
                <w:rFonts w:ascii="Tahoma" w:hAnsi="Tahoma" w:eastAsia="Tahoma"/>
                <w:sz w:val="16"/>
                <w:szCs w:val="16"/>
              </w:rPr>
            </w:pPr>
            <w:r>
              <w:rPr>
                <w:rFonts w:eastAsia="Tahoma" w:ascii="Tahoma" w:hAnsi="Tahoma"/>
                <w:sz w:val="16"/>
                <w:szCs w:val="16"/>
              </w:rPr>
              <w:t>projektant</w:t>
            </w:r>
          </w:p>
        </w:tc>
        <w:tc>
          <w:tcPr>
            <w:tcW w:w="2740" w:type="dxa"/>
            <w:tcBorders>
              <w:left w:val="single" w:sz="6" w:space="0" w:color="000000"/>
              <w:bottom w:val="single" w:sz="4" w:space="0" w:color="000000"/>
            </w:tcBorders>
            <w:vAlign w:val="center"/>
          </w:tcPr>
          <w:p>
            <w:pPr>
              <w:pStyle w:val="Normal"/>
              <w:widowControl w:val="false"/>
              <w:jc w:val="center"/>
              <w:rPr>
                <w:rFonts w:ascii="Tahoma" w:hAnsi="Tahoma" w:eastAsia="Tahoma"/>
                <w:sz w:val="20"/>
                <w:szCs w:val="20"/>
              </w:rPr>
            </w:pPr>
            <w:r>
              <w:rPr>
                <w:rFonts w:eastAsia="Tahoma" w:ascii="Tahoma" w:hAnsi="Tahoma"/>
                <w:sz w:val="20"/>
                <w:szCs w:val="20"/>
              </w:rPr>
            </w:r>
          </w:p>
          <w:p>
            <w:pPr>
              <w:pStyle w:val="Normal"/>
              <w:widowControl w:val="false"/>
              <w:jc w:val="center"/>
              <w:rPr>
                <w:rFonts w:ascii="Tahoma" w:hAnsi="Tahoma" w:eastAsia="Tahoma"/>
                <w:sz w:val="20"/>
                <w:szCs w:val="20"/>
              </w:rPr>
            </w:pPr>
            <w:r>
              <w:rPr>
                <w:rFonts w:eastAsia="Tahoma" w:ascii="Tahoma" w:hAnsi="Tahoma"/>
                <w:b/>
                <w:bCs/>
                <w:sz w:val="20"/>
                <w:szCs w:val="20"/>
              </w:rPr>
              <w:t>mgr inż. arch.</w:t>
              <w:br/>
              <w:t xml:space="preserve"> Piotr Cegielski</w:t>
            </w:r>
          </w:p>
        </w:tc>
        <w:tc>
          <w:tcPr>
            <w:tcW w:w="2313" w:type="dxa"/>
            <w:tcBorders>
              <w:left w:val="single" w:sz="6" w:space="0" w:color="000000"/>
              <w:bottom w:val="single" w:sz="4" w:space="0" w:color="000000"/>
            </w:tcBorders>
          </w:tcPr>
          <w:p>
            <w:pPr>
              <w:pStyle w:val="Normal"/>
              <w:widowControl w:val="false"/>
              <w:jc w:val="both"/>
              <w:rPr>
                <w:rFonts w:ascii="Tahoma" w:hAnsi="Tahoma" w:eastAsia="Tahoma"/>
                <w:sz w:val="20"/>
                <w:szCs w:val="20"/>
              </w:rPr>
            </w:pPr>
            <w:r>
              <w:rPr>
                <w:rFonts w:eastAsia="Tahoma" w:ascii="Tahoma" w:hAnsi="Tahoma"/>
                <w:b/>
                <w:bCs/>
                <w:sz w:val="20"/>
                <w:szCs w:val="20"/>
              </w:rPr>
              <w:t xml:space="preserve"> </w:t>
            </w:r>
            <w:r>
              <w:rPr/>
              <w:br/>
            </w:r>
            <w:r>
              <w:rPr>
                <w:rFonts w:eastAsia="Tahoma" w:ascii="Tahoma" w:hAnsi="Tahoma"/>
                <w:b/>
                <w:bCs/>
                <w:sz w:val="20"/>
                <w:szCs w:val="20"/>
              </w:rPr>
              <w:t xml:space="preserve">    50/LOOKK/2013</w:t>
            </w:r>
            <w:r>
              <w:rPr/>
              <w:br/>
            </w:r>
            <w:r>
              <w:rPr>
                <w:rFonts w:eastAsia="Tahoma" w:ascii="Tahoma" w:hAnsi="Tahoma"/>
                <w:b/>
                <w:bCs/>
                <w:sz w:val="20"/>
                <w:szCs w:val="20"/>
              </w:rPr>
              <w:t xml:space="preserve">  (w spec. arch. b.o.)</w:t>
            </w:r>
          </w:p>
        </w:tc>
        <w:tc>
          <w:tcPr>
            <w:tcW w:w="2567" w:type="dxa"/>
            <w:tcBorders>
              <w:left w:val="single" w:sz="6" w:space="0" w:color="000000"/>
              <w:bottom w:val="single" w:sz="4" w:space="0" w:color="000000"/>
              <w:right w:val="single" w:sz="6" w:space="0" w:color="000000"/>
            </w:tcBorders>
          </w:tcPr>
          <w:p>
            <w:pPr>
              <w:pStyle w:val="Normal"/>
              <w:widowControl w:val="false"/>
              <w:jc w:val="both"/>
              <w:rPr>
                <w:rFonts w:ascii="Tahoma" w:hAnsi="Tahoma" w:eastAsia="Tahoma"/>
                <w:sz w:val="20"/>
                <w:szCs w:val="20"/>
              </w:rPr>
            </w:pPr>
            <w:r>
              <w:rPr>
                <w:rFonts w:eastAsia="Tahoma" w:ascii="Tahoma" w:hAnsi="Tahoma"/>
                <w:sz w:val="20"/>
                <w:szCs w:val="20"/>
              </w:rPr>
            </w:r>
          </w:p>
        </w:tc>
      </w:tr>
      <w:tr>
        <w:trPr>
          <w:trHeight w:val="847" w:hRule="atLeast"/>
        </w:trPr>
        <w:tc>
          <w:tcPr>
            <w:tcW w:w="495" w:type="dxa"/>
            <w:tcBorders>
              <w:top w:val="single" w:sz="6" w:space="0" w:color="000000"/>
              <w:left w:val="single" w:sz="6" w:space="0" w:color="000000"/>
              <w:bottom w:val="single" w:sz="6" w:space="0" w:color="000000"/>
            </w:tcBorders>
          </w:tcPr>
          <w:p>
            <w:pPr>
              <w:pStyle w:val="Normal"/>
              <w:widowControl w:val="false"/>
              <w:ind w:left="113" w:right="113" w:hanging="0"/>
              <w:jc w:val="both"/>
              <w:rPr>
                <w:rFonts w:ascii="Tahoma" w:hAnsi="Tahoma" w:eastAsia="Tahoma"/>
                <w:sz w:val="16"/>
                <w:szCs w:val="16"/>
              </w:rPr>
            </w:pPr>
            <w:r>
              <w:rPr>
                <w:rFonts w:eastAsia="Tahoma" w:ascii="Tahoma" w:hAnsi="Tahoma"/>
                <w:sz w:val="16"/>
                <w:szCs w:val="16"/>
              </w:rPr>
              <w:t>Architektura</w:t>
            </w:r>
          </w:p>
        </w:tc>
        <w:tc>
          <w:tcPr>
            <w:tcW w:w="525" w:type="dxa"/>
            <w:tcBorders>
              <w:top w:val="single" w:sz="6" w:space="0" w:color="000000"/>
              <w:left w:val="single" w:sz="6" w:space="0" w:color="000000"/>
              <w:bottom w:val="single" w:sz="6" w:space="0" w:color="000000"/>
            </w:tcBorders>
          </w:tcPr>
          <w:p>
            <w:pPr>
              <w:pStyle w:val="Normal"/>
              <w:widowControl w:val="false"/>
              <w:ind w:left="113" w:right="113" w:hanging="0"/>
              <w:jc w:val="both"/>
              <w:rPr>
                <w:rFonts w:ascii="Tahoma" w:hAnsi="Tahoma" w:eastAsia="Tahoma"/>
                <w:sz w:val="16"/>
                <w:szCs w:val="16"/>
              </w:rPr>
            </w:pPr>
            <w:r>
              <w:rPr>
                <w:rFonts w:eastAsia="Tahoma" w:ascii="Tahoma" w:hAnsi="Tahoma"/>
                <w:sz w:val="16"/>
                <w:szCs w:val="16"/>
              </w:rPr>
              <w:t>sprawdzający</w:t>
            </w:r>
          </w:p>
        </w:tc>
        <w:tc>
          <w:tcPr>
            <w:tcW w:w="2740" w:type="dxa"/>
            <w:tcBorders>
              <w:top w:val="single" w:sz="4" w:space="0" w:color="000000"/>
              <w:left w:val="single" w:sz="6" w:space="0" w:color="000000"/>
              <w:bottom w:val="single" w:sz="6" w:space="0" w:color="000000"/>
            </w:tcBorders>
            <w:vAlign w:val="center"/>
          </w:tcPr>
          <w:p>
            <w:pPr>
              <w:pStyle w:val="Normal"/>
              <w:widowControl w:val="false"/>
              <w:ind w:left="113" w:right="113" w:hanging="0"/>
              <w:jc w:val="center"/>
              <w:rPr>
                <w:rFonts w:ascii="Tahoma" w:hAnsi="Tahoma" w:eastAsia="Tahoma"/>
                <w:sz w:val="16"/>
                <w:szCs w:val="16"/>
              </w:rPr>
            </w:pPr>
            <w:r>
              <w:rPr>
                <w:rFonts w:eastAsia="Tahoma" w:ascii="Tahoma" w:hAnsi="Tahoma"/>
                <w:b/>
                <w:bCs/>
                <w:sz w:val="20"/>
                <w:szCs w:val="20"/>
              </w:rPr>
              <w:t xml:space="preserve">mgr inż. arch. </w:t>
              <w:br/>
              <w:t>Arkadiusz Sarlej</w:t>
            </w:r>
          </w:p>
        </w:tc>
        <w:tc>
          <w:tcPr>
            <w:tcW w:w="2313" w:type="dxa"/>
            <w:tcBorders>
              <w:top w:val="single" w:sz="4" w:space="0" w:color="000000"/>
              <w:left w:val="single" w:sz="6" w:space="0" w:color="000000"/>
              <w:bottom w:val="single" w:sz="6" w:space="0" w:color="000000"/>
            </w:tcBorders>
          </w:tcPr>
          <w:p>
            <w:pPr>
              <w:pStyle w:val="Normal"/>
              <w:widowControl w:val="false"/>
              <w:ind w:left="113" w:right="113" w:hanging="0"/>
              <w:jc w:val="both"/>
              <w:rPr>
                <w:rFonts w:ascii="Tahoma" w:hAnsi="Tahoma" w:eastAsia="Tahoma"/>
                <w:b/>
                <w:bCs/>
                <w:sz w:val="20"/>
                <w:szCs w:val="20"/>
              </w:rPr>
            </w:pPr>
            <w:r>
              <w:rPr>
                <w:rFonts w:eastAsia="Tahoma" w:ascii="Tahoma" w:hAnsi="Tahoma"/>
                <w:b/>
                <w:bCs/>
                <w:sz w:val="20"/>
                <w:szCs w:val="20"/>
              </w:rPr>
            </w:r>
          </w:p>
          <w:p>
            <w:pPr>
              <w:pStyle w:val="Normal"/>
              <w:widowControl w:val="false"/>
              <w:ind w:left="113" w:right="113" w:hanging="0"/>
              <w:jc w:val="both"/>
              <w:rPr>
                <w:rFonts w:ascii="Tahoma" w:hAnsi="Tahoma" w:eastAsia="Tahoma"/>
                <w:sz w:val="16"/>
                <w:szCs w:val="16"/>
              </w:rPr>
            </w:pPr>
            <w:r>
              <w:rPr>
                <w:rFonts w:eastAsia="Tahoma" w:ascii="Tahoma" w:hAnsi="Tahoma"/>
                <w:b/>
                <w:bCs/>
                <w:sz w:val="20"/>
                <w:szCs w:val="20"/>
              </w:rPr>
              <w:t xml:space="preserve">  </w:t>
            </w:r>
            <w:r>
              <w:rPr>
                <w:rFonts w:eastAsia="Tahoma" w:ascii="Tahoma" w:hAnsi="Tahoma"/>
                <w:b/>
                <w:bCs/>
                <w:sz w:val="20"/>
                <w:szCs w:val="20"/>
              </w:rPr>
              <w:t>14/LOOKK/2011</w:t>
            </w:r>
            <w:r>
              <w:rPr/>
              <w:br/>
            </w:r>
            <w:r>
              <w:rPr>
                <w:rFonts w:eastAsia="Tahoma" w:ascii="Tahoma" w:hAnsi="Tahoma"/>
                <w:b/>
                <w:bCs/>
                <w:sz w:val="20"/>
                <w:szCs w:val="20"/>
              </w:rPr>
              <w:t xml:space="preserve">  (w spec. arch. b.o.)</w:t>
            </w:r>
          </w:p>
        </w:tc>
        <w:tc>
          <w:tcPr>
            <w:tcW w:w="2567" w:type="dxa"/>
            <w:tcBorders>
              <w:top w:val="single" w:sz="4" w:space="0" w:color="000000"/>
              <w:left w:val="single" w:sz="6" w:space="0" w:color="000000"/>
              <w:bottom w:val="single" w:sz="6" w:space="0" w:color="000000"/>
              <w:right w:val="single" w:sz="6" w:space="0" w:color="000000"/>
            </w:tcBorders>
          </w:tcPr>
          <w:p>
            <w:pPr>
              <w:pStyle w:val="Normal"/>
              <w:widowControl w:val="false"/>
              <w:ind w:left="113" w:right="113" w:hanging="0"/>
              <w:jc w:val="both"/>
              <w:rPr>
                <w:rFonts w:ascii="Tahoma" w:hAnsi="Tahoma" w:eastAsia="Tahoma"/>
                <w:sz w:val="16"/>
                <w:szCs w:val="16"/>
              </w:rPr>
            </w:pPr>
            <w:r>
              <w:rPr>
                <w:rFonts w:eastAsia="Tahoma" w:ascii="Tahoma" w:hAnsi="Tahoma"/>
                <w:sz w:val="16"/>
                <w:szCs w:val="16"/>
              </w:rPr>
            </w:r>
          </w:p>
        </w:tc>
      </w:tr>
    </w:tbl>
    <w:p>
      <w:pPr>
        <w:pStyle w:val="Normal"/>
        <w:ind w:left="113" w:right="113" w:hanging="0"/>
        <w:jc w:val="both"/>
        <w:rPr>
          <w:rFonts w:ascii="Tahoma" w:hAnsi="Tahoma" w:eastAsia="Tahoma"/>
          <w:sz w:val="16"/>
          <w:szCs w:val="16"/>
        </w:rPr>
      </w:pPr>
      <w:r>
        <w:rPr>
          <w:rFonts w:eastAsia="Tahoma" w:ascii="Tahoma" w:hAnsi="Tahoma"/>
          <w:sz w:val="16"/>
          <w:szCs w:val="16"/>
        </w:rPr>
      </w:r>
    </w:p>
    <w:p>
      <w:pPr>
        <w:pStyle w:val="Normal"/>
        <w:jc w:val="both"/>
        <w:rPr>
          <w:rFonts w:eastAsia="Times New Roman" w:cs="Times New Roman"/>
        </w:rPr>
      </w:pPr>
      <w:r>
        <w:rPr>
          <w:rFonts w:eastAsia="Times New Roman" w:cs="Times New Roman"/>
        </w:rPr>
      </w:r>
    </w:p>
    <w:p>
      <w:pPr>
        <w:pStyle w:val="Normal"/>
        <w:jc w:val="both"/>
        <w:rPr>
          <w:rFonts w:eastAsia="Times New Roman" w:cs="Times New Roman"/>
        </w:rPr>
      </w:pPr>
      <w:r>
        <w:rPr>
          <w:rFonts w:eastAsia="Times New Roman" w:cs="Times New Roman"/>
        </w:rPr>
      </w:r>
    </w:p>
    <w:p>
      <w:pPr>
        <w:pStyle w:val="Normal"/>
        <w:jc w:val="both"/>
        <w:rPr/>
      </w:pPr>
      <w:r>
        <w:rPr/>
      </w:r>
    </w:p>
    <w:p>
      <w:pPr>
        <w:pStyle w:val="Normal"/>
        <w:jc w:val="both"/>
        <w:rPr/>
      </w:pPr>
      <w:r>
        <w:rPr/>
      </w:r>
    </w:p>
    <w:p>
      <w:pPr>
        <w:pStyle w:val="Normal"/>
        <w:jc w:val="both"/>
        <w:rPr/>
      </w:pPr>
      <w:r>
        <w:rPr/>
      </w:r>
    </w:p>
    <w:p>
      <w:pPr>
        <w:pStyle w:val="Normal"/>
        <w:jc w:val="both"/>
        <w:rPr/>
      </w:pPr>
      <w:r>
        <w:rPr/>
      </w:r>
    </w:p>
    <w:tbl>
      <w:tblPr>
        <w:tblW w:w="8577" w:type="dxa"/>
        <w:jc w:val="left"/>
        <w:tblInd w:w="145" w:type="dxa"/>
        <w:tblLayout w:type="fixed"/>
        <w:tblCellMar>
          <w:top w:w="0" w:type="dxa"/>
          <w:left w:w="70" w:type="dxa"/>
          <w:bottom w:w="0" w:type="dxa"/>
          <w:right w:w="70" w:type="dxa"/>
        </w:tblCellMar>
        <w:tblLook w:firstRow="0" w:noVBand="0" w:lastRow="0" w:firstColumn="0" w:lastColumn="0" w:noHBand="0" w:val="0000"/>
      </w:tblPr>
      <w:tblGrid>
        <w:gridCol w:w="4821"/>
        <w:gridCol w:w="3755"/>
      </w:tblGrid>
      <w:tr>
        <w:trPr/>
        <w:tc>
          <w:tcPr>
            <w:tcW w:w="4821" w:type="dxa"/>
            <w:tcBorders>
              <w:top w:val="single" w:sz="4" w:space="0" w:color="000000"/>
              <w:left w:val="single" w:sz="4" w:space="0" w:color="000000"/>
              <w:bottom w:val="single" w:sz="4" w:space="0" w:color="000000"/>
            </w:tcBorders>
          </w:tcPr>
          <w:p>
            <w:pPr>
              <w:pStyle w:val="Stopka"/>
              <w:widowControl w:val="false"/>
              <w:tabs>
                <w:tab w:val="clear" w:pos="4536"/>
                <w:tab w:val="clear" w:pos="9072"/>
              </w:tabs>
              <w:snapToGrid w:val="false"/>
              <w:rPr>
                <w:rFonts w:ascii="Tahoma" w:hAnsi="Tahoma" w:cs="Tahoma"/>
                <w:bCs/>
                <w:sz w:val="20"/>
              </w:rPr>
            </w:pPr>
            <w:r>
              <w:rPr>
                <w:rFonts w:cs="Tahoma" w:ascii="Tahoma" w:hAnsi="Tahoma"/>
                <w:bCs/>
                <w:sz w:val="20"/>
              </w:rPr>
              <w:t>Data opracowania projektu</w:t>
            </w:r>
          </w:p>
        </w:tc>
        <w:tc>
          <w:tcPr>
            <w:tcW w:w="37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right"/>
              <w:rPr>
                <w:rFonts w:ascii="Tahoma" w:hAnsi="Tahoma"/>
                <w:b/>
                <w:bCs/>
                <w:sz w:val="20"/>
                <w:szCs w:val="20"/>
              </w:rPr>
            </w:pPr>
            <w:r>
              <w:rPr>
                <w:rFonts w:ascii="Tahoma" w:hAnsi="Tahoma"/>
                <w:b/>
                <w:bCs/>
                <w:sz w:val="20"/>
                <w:szCs w:val="20"/>
              </w:rPr>
              <w:t>lipiec 2024 roku</w:t>
            </w:r>
          </w:p>
        </w:tc>
      </w:tr>
    </w:tbl>
    <w:p>
      <w:pPr>
        <w:pStyle w:val="Normal"/>
        <w:rPr>
          <w:rFonts w:ascii="Calibri" w:hAnsi="Calibri" w:eastAsia="Calibri" w:cs="Calibri"/>
          <w:b/>
          <w:u w:val="single"/>
        </w:rPr>
      </w:pPr>
      <w:r>
        <w:rPr>
          <w:rFonts w:eastAsia="Calibri" w:cs="Calibri" w:ascii="Calibri" w:hAnsi="Calibri"/>
          <w:b/>
          <w:u w:val="single"/>
        </w:rPr>
      </w:r>
      <w:r>
        <w:br w:type="page"/>
      </w:r>
    </w:p>
    <w:p>
      <w:pPr>
        <w:pStyle w:val="Normal"/>
        <w:rPr/>
      </w:pPr>
      <w:r>
        <w:rPr/>
        <w:drawing>
          <wp:inline distT="0" distB="0" distL="0" distR="0">
            <wp:extent cx="5486400" cy="6775450"/>
            <wp:effectExtent l="0" t="0" r="0" b="0"/>
            <wp:docPr id="1"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
                    <pic:cNvPicPr>
                      <a:picLocks noChangeAspect="1" noChangeArrowheads="1"/>
                    </pic:cNvPicPr>
                  </pic:nvPicPr>
                  <pic:blipFill>
                    <a:blip r:embed="rId2"/>
                    <a:stretch>
                      <a:fillRect/>
                    </a:stretch>
                  </pic:blipFill>
                  <pic:spPr bwMode="auto">
                    <a:xfrm>
                      <a:off x="0" y="0"/>
                      <a:ext cx="5486400" cy="6775450"/>
                    </a:xfrm>
                    <a:prstGeom prst="rect">
                      <a:avLst/>
                    </a:prstGeom>
                  </pic:spPr>
                </pic:pic>
              </a:graphicData>
            </a:graphic>
          </wp:inline>
        </w:drawing>
      </w:r>
    </w:p>
    <w:p>
      <w:pPr>
        <w:pStyle w:val="Normal"/>
        <w:rPr>
          <w:rFonts w:cs="Arial"/>
        </w:rPr>
      </w:pPr>
      <w:r>
        <w:rPr/>
        <w:drawing>
          <wp:inline distT="0" distB="0" distL="0" distR="0">
            <wp:extent cx="5486400" cy="7756525"/>
            <wp:effectExtent l="0" t="0" r="0" b="0"/>
            <wp:docPr id="2" name="Obraz 17" descr="uprawnienia piotr cegielski NR 50 LOOKK 201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7" descr="uprawnienia piotr cegielski NR 50 LOOKK 2013-1 1.jpg"/>
                    <pic:cNvPicPr>
                      <a:picLocks noChangeAspect="1" noChangeArrowheads="1"/>
                    </pic:cNvPicPr>
                  </pic:nvPicPr>
                  <pic:blipFill>
                    <a:blip r:embed="rId3"/>
                    <a:stretch>
                      <a:fillRect/>
                    </a:stretch>
                  </pic:blipFill>
                  <pic:spPr bwMode="auto">
                    <a:xfrm>
                      <a:off x="0" y="0"/>
                      <a:ext cx="5486400" cy="7756525"/>
                    </a:xfrm>
                    <a:prstGeom prst="rect">
                      <a:avLst/>
                    </a:prstGeom>
                  </pic:spPr>
                </pic:pic>
              </a:graphicData>
            </a:graphic>
          </wp:inline>
        </w:drawing>
      </w:r>
    </w:p>
    <w:p>
      <w:pPr>
        <w:pStyle w:val="Normal"/>
        <w:rPr>
          <w:rFonts w:ascii="Arial" w:hAnsi="Arial" w:eastAsia="Times New Roman" w:cs="Arial"/>
          <w:kern w:val="0"/>
          <w:sz w:val="28"/>
        </w:rPr>
      </w:pPr>
      <w:r>
        <w:rPr/>
        <w:drawing>
          <wp:inline distT="0" distB="0" distL="0" distR="0">
            <wp:extent cx="5486400" cy="7756525"/>
            <wp:effectExtent l="0" t="0" r="0" b="0"/>
            <wp:docPr id="3" name="Obraz 18" descr="uprawnienia piotr cegielski NR 50 LOOKK 20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8" descr="uprawnienia piotr cegielski NR 50 LOOKK 2013-1 2.jpg"/>
                    <pic:cNvPicPr>
                      <a:picLocks noChangeAspect="1" noChangeArrowheads="1"/>
                    </pic:cNvPicPr>
                  </pic:nvPicPr>
                  <pic:blipFill>
                    <a:blip r:embed="rId4"/>
                    <a:stretch>
                      <a:fillRect/>
                    </a:stretch>
                  </pic:blipFill>
                  <pic:spPr bwMode="auto">
                    <a:xfrm>
                      <a:off x="0" y="0"/>
                      <a:ext cx="5486400" cy="7756525"/>
                    </a:xfrm>
                    <a:prstGeom prst="rect">
                      <a:avLst/>
                    </a:prstGeom>
                  </pic:spPr>
                </pic:pic>
              </a:graphicData>
            </a:graphic>
          </wp:inline>
        </w:drawing>
      </w:r>
    </w:p>
    <w:p>
      <w:pPr>
        <w:pStyle w:val="Tytu"/>
        <w:ind w:left="4820" w:right="-567" w:hanging="284"/>
        <w:rPr/>
      </w:pPr>
      <w:r>
        <w:rPr>
          <w:rFonts w:eastAsia="Tahoma" w:cs="Tahoma" w:ascii="Tahoma" w:hAnsi="Tahoma"/>
          <w:b w:val="false"/>
          <w:bCs w:val="false"/>
          <w:i/>
          <w:iCs/>
          <w:sz w:val="22"/>
          <w:szCs w:val="22"/>
        </w:rPr>
        <w:t>Bielsko Biała, lipiec 2024r.</w:t>
      </w:r>
    </w:p>
    <w:p>
      <w:pPr>
        <w:pStyle w:val="Tytu"/>
        <w:ind w:left="4820" w:right="-567" w:hanging="284"/>
        <w:rPr>
          <w:rFonts w:ascii="Tahoma" w:hAnsi="Tahoma" w:cs="Tahoma"/>
          <w:b w:val="false"/>
          <w:bCs w:val="false"/>
          <w:i/>
          <w:i/>
          <w:iCs/>
          <w:sz w:val="22"/>
          <w:szCs w:val="22"/>
        </w:rPr>
      </w:pPr>
      <w:r>
        <w:rPr>
          <w:rFonts w:cs="Tahoma" w:ascii="Tahoma" w:hAnsi="Tahoma"/>
          <w:b w:val="false"/>
          <w:bCs w:val="false"/>
          <w:i/>
          <w:iCs/>
          <w:sz w:val="22"/>
          <w:szCs w:val="22"/>
        </w:rPr>
      </w:r>
    </w:p>
    <w:p>
      <w:pPr>
        <w:pStyle w:val="Tytu"/>
        <w:rPr>
          <w:rFonts w:ascii="Tahoma" w:hAnsi="Tahoma" w:cs="Tahoma"/>
        </w:rPr>
      </w:pPr>
      <w:r>
        <w:rPr>
          <w:rFonts w:cs="Tahoma" w:ascii="Tahoma" w:hAnsi="Tahoma"/>
        </w:rPr>
      </w:r>
    </w:p>
    <w:p>
      <w:pPr>
        <w:pStyle w:val="Tytu"/>
        <w:rPr>
          <w:rFonts w:ascii="Tahoma" w:hAnsi="Tahoma" w:cs="Tahoma"/>
        </w:rPr>
      </w:pPr>
      <w:r>
        <w:rPr>
          <w:rFonts w:cs="Tahoma" w:ascii="Tahoma" w:hAnsi="Tahoma"/>
        </w:rPr>
      </w:r>
    </w:p>
    <w:p>
      <w:pPr>
        <w:pStyle w:val="Tytu"/>
        <w:rPr>
          <w:rFonts w:ascii="Tahoma" w:hAnsi="Tahoma" w:cs="Tahoma"/>
        </w:rPr>
      </w:pPr>
      <w:r>
        <w:rPr>
          <w:rFonts w:cs="Tahoma" w:ascii="Tahoma" w:hAnsi="Tahoma"/>
        </w:rPr>
        <w:t xml:space="preserve">          </w:t>
      </w:r>
      <w:r>
        <w:rPr>
          <w:rFonts w:cs="Tahoma" w:ascii="Tahoma" w:hAnsi="Tahoma"/>
        </w:rPr>
        <w:t>OŚWIADCZENIE PROJEKTANTA</w:t>
      </w:r>
    </w:p>
    <w:p>
      <w:pPr>
        <w:pStyle w:val="Normal"/>
        <w:ind w:left="-720" w:right="-1008" w:hanging="0"/>
        <w:jc w:val="center"/>
        <w:rPr>
          <w:rFonts w:ascii="Tahoma" w:hAnsi="Tahoma"/>
          <w:b/>
          <w:bCs/>
          <w:sz w:val="28"/>
        </w:rPr>
      </w:pPr>
      <w:r>
        <w:rPr>
          <w:rFonts w:ascii="Tahoma" w:hAnsi="Tahoma"/>
          <w:b/>
          <w:bCs/>
          <w:sz w:val="28"/>
        </w:rPr>
      </w:r>
    </w:p>
    <w:p>
      <w:pPr>
        <w:pStyle w:val="Normal"/>
        <w:jc w:val="center"/>
        <w:rPr>
          <w:rFonts w:ascii="Arial" w:hAnsi="Arial" w:cs="Arial"/>
          <w:b/>
          <w:bCs/>
        </w:rPr>
      </w:pPr>
      <w:r>
        <w:rPr>
          <w:rFonts w:cs="Arial" w:ascii="Arial" w:hAnsi="Arial"/>
          <w:b/>
          <w:bCs/>
        </w:rPr>
      </w:r>
    </w:p>
    <w:p>
      <w:pPr>
        <w:pStyle w:val="Normal"/>
        <w:jc w:val="center"/>
        <w:rPr>
          <w:rFonts w:ascii="Arial" w:hAnsi="Arial" w:cs="Arial"/>
          <w:sz w:val="22"/>
          <w:szCs w:val="22"/>
        </w:rPr>
      </w:pPr>
      <w:r>
        <w:rPr>
          <w:rFonts w:cs="Arial" w:ascii="Arial" w:hAnsi="Arial"/>
          <w:b/>
          <w:sz w:val="22"/>
          <w:szCs w:val="22"/>
        </w:rPr>
        <w:t>Oświadcz</w:t>
      </w:r>
      <w:r>
        <w:rPr>
          <w:rFonts w:cs="Arial" w:ascii="Arial" w:hAnsi="Arial"/>
          <w:b/>
          <w:bCs/>
          <w:sz w:val="22"/>
          <w:szCs w:val="22"/>
        </w:rPr>
        <w:t xml:space="preserve">am, jako główny projektant </w:t>
      </w:r>
      <w:r>
        <w:rPr>
          <w:rFonts w:cs="Arial" w:ascii="Arial" w:hAnsi="Arial"/>
          <w:sz w:val="22"/>
          <w:szCs w:val="22"/>
        </w:rPr>
        <w:t>że niniejszy projekt techniczny</w:t>
      </w:r>
    </w:p>
    <w:p>
      <w:pPr>
        <w:pStyle w:val="Normal"/>
        <w:jc w:val="center"/>
        <w:rPr>
          <w:rFonts w:ascii="Arial" w:hAnsi="Arial" w:cs="Arial"/>
          <w:sz w:val="22"/>
          <w:szCs w:val="22"/>
        </w:rPr>
      </w:pPr>
      <w:r>
        <w:rPr>
          <w:rFonts w:cs="Arial" w:ascii="Arial" w:hAnsi="Arial"/>
          <w:sz w:val="22"/>
          <w:szCs w:val="22"/>
        </w:rPr>
      </w:r>
    </w:p>
    <w:p>
      <w:pPr>
        <w:pStyle w:val="Normal"/>
        <w:jc w:val="center"/>
        <w:rPr>
          <w:rFonts w:ascii="Arial" w:hAnsi="Arial" w:cs="Arial"/>
          <w:b/>
          <w:bCs/>
          <w:sz w:val="22"/>
          <w:szCs w:val="22"/>
        </w:rPr>
      </w:pPr>
      <w:r>
        <w:rPr>
          <w:rFonts w:cs="Arial" w:ascii="Arial" w:hAnsi="Arial"/>
          <w:sz w:val="22"/>
          <w:szCs w:val="22"/>
        </w:rPr>
        <w:t xml:space="preserve">w zakresie </w:t>
      </w:r>
      <w:r>
        <w:rPr>
          <w:rFonts w:cs="Arial" w:ascii="Arial" w:hAnsi="Arial"/>
          <w:b/>
          <w:bCs/>
          <w:sz w:val="22"/>
          <w:szCs w:val="22"/>
        </w:rPr>
        <w:t>architektury</w:t>
      </w:r>
      <w:r>
        <w:rPr>
          <w:rFonts w:cs="Arial" w:ascii="Arial" w:hAnsi="Arial"/>
          <w:sz w:val="22"/>
          <w:szCs w:val="22"/>
        </w:rPr>
        <w:t xml:space="preserve">, dla zmiany aranżacji wnętrz i przebudowy lokali usługowych </w:t>
      </w:r>
    </w:p>
    <w:p>
      <w:pPr>
        <w:pStyle w:val="Normal"/>
        <w:jc w:val="center"/>
        <w:rPr>
          <w:rFonts w:ascii="Arial" w:hAnsi="Arial" w:cs="Arial"/>
          <w:b/>
          <w:bCs/>
          <w:sz w:val="22"/>
          <w:szCs w:val="22"/>
        </w:rPr>
      </w:pPr>
      <w:r>
        <w:rPr>
          <w:rFonts w:cs="Arial" w:ascii="Arial" w:hAnsi="Arial"/>
          <w:sz w:val="22"/>
          <w:szCs w:val="22"/>
        </w:rPr>
        <w:br/>
      </w:r>
      <w:r>
        <w:rPr>
          <w:rFonts w:cs="Arial" w:ascii="Arial" w:hAnsi="Arial"/>
          <w:b/>
          <w:bCs/>
          <w:sz w:val="22"/>
          <w:szCs w:val="22"/>
        </w:rPr>
        <w:t>Lokal 0.11 w budynku handlowym zlokalizowanym w Bielsku-Białej (43-300) przy ul. Warszawskiej 180</w:t>
      </w:r>
    </w:p>
    <w:p>
      <w:pPr>
        <w:pStyle w:val="Normal"/>
        <w:jc w:val="center"/>
        <w:rPr>
          <w:rFonts w:ascii="Arial" w:hAnsi="Arial" w:cs="Arial"/>
          <w:sz w:val="22"/>
          <w:szCs w:val="22"/>
        </w:rPr>
      </w:pPr>
      <w:r>
        <w:rPr>
          <w:rFonts w:cs="Arial" w:ascii="Arial" w:hAnsi="Arial"/>
          <w:sz w:val="22"/>
          <w:szCs w:val="22"/>
        </w:rPr>
      </w:r>
    </w:p>
    <w:p>
      <w:pPr>
        <w:pStyle w:val="Normal"/>
        <w:jc w:val="center"/>
        <w:rPr>
          <w:rFonts w:ascii="Arial" w:hAnsi="Arial" w:cs="Arial"/>
          <w:sz w:val="22"/>
          <w:szCs w:val="22"/>
        </w:rPr>
      </w:pPr>
      <w:r>
        <w:rPr>
          <w:rFonts w:cs="Arial" w:ascii="Arial" w:hAnsi="Arial"/>
          <w:sz w:val="22"/>
          <w:szCs w:val="22"/>
        </w:rPr>
        <w:t>został wykonany zgodnie z obowiązującymi przepisami i zasadami wiedzy technicznej.</w:t>
      </w:r>
    </w:p>
    <w:p>
      <w:pPr>
        <w:pStyle w:val="Normal"/>
        <w:jc w:val="center"/>
        <w:rPr>
          <w:rFonts w:ascii="Arial" w:hAnsi="Arial" w:cs="Arial"/>
          <w:sz w:val="22"/>
          <w:szCs w:val="22"/>
        </w:rPr>
      </w:pPr>
      <w:r>
        <w:rPr>
          <w:rFonts w:cs="Arial" w:ascii="Arial" w:hAnsi="Arial"/>
          <w:sz w:val="22"/>
          <w:szCs w:val="22"/>
        </w:rPr>
      </w:r>
    </w:p>
    <w:p>
      <w:pPr>
        <w:pStyle w:val="Tretekstu"/>
        <w:jc w:val="left"/>
        <w:rPr>
          <w:color w:val="auto"/>
          <w:sz w:val="22"/>
          <w:szCs w:val="22"/>
        </w:rPr>
      </w:pPr>
      <w:r>
        <w:rPr>
          <w:color w:val="auto"/>
          <w:sz w:val="22"/>
          <w:szCs w:val="22"/>
        </w:rPr>
        <w:t xml:space="preserve">Wymagane zgodnie z art. 20 ust. 4 ustawy z dnia 7 lipca 1994 roku – Prawo budowlane. </w:t>
      </w:r>
      <w:r>
        <w:rPr>
          <w:color w:val="auto"/>
        </w:rPr>
        <w:br/>
      </w:r>
    </w:p>
    <w:p>
      <w:pPr>
        <w:pStyle w:val="Tretekstu"/>
        <w:jc w:val="left"/>
        <w:rPr>
          <w:color w:val="auto"/>
          <w:sz w:val="22"/>
          <w:szCs w:val="22"/>
        </w:rPr>
      </w:pPr>
      <w:r>
        <w:rPr>
          <w:color w:val="auto"/>
          <w:sz w:val="22"/>
          <w:szCs w:val="22"/>
        </w:rPr>
        <w:t>Ponadto oświadczam, że projekt został sporządzony zgodnie z Instrukcją Techniczną Centrum oraz regulaminem Centrum.</w:t>
      </w:r>
      <w:r>
        <w:rPr>
          <w:color w:val="auto"/>
        </w:rPr>
        <w:b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p>
      <w:pPr>
        <w:pStyle w:val="Tretekstu"/>
        <w:rPr>
          <w:color w:val="auto"/>
          <w:sz w:val="22"/>
          <w:szCs w:val="22"/>
        </w:rPr>
      </w:pPr>
      <w:r>
        <w:rPr>
          <w:color w:val="auto"/>
          <w:sz w:val="22"/>
          <w:szCs w:val="22"/>
        </w:rPr>
      </w:r>
    </w:p>
    <w:tbl>
      <w:tblPr>
        <w:tblW w:w="8640"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5635"/>
        <w:gridCol w:w="3004"/>
      </w:tblGrid>
      <w:tr>
        <w:trPr/>
        <w:tc>
          <w:tcPr>
            <w:tcW w:w="5635" w:type="dxa"/>
            <w:tcBorders/>
          </w:tcPr>
          <w:p>
            <w:pPr>
              <w:pStyle w:val="Normal"/>
              <w:widowControl w:val="false"/>
              <w:rPr>
                <w:rFonts w:ascii="Arial" w:hAnsi="Arial" w:cs="Arial"/>
                <w:sz w:val="22"/>
                <w:szCs w:val="22"/>
              </w:rPr>
            </w:pPr>
            <w:r>
              <w:rPr>
                <w:rFonts w:cs="Arial" w:ascii="Arial" w:hAnsi="Arial"/>
                <w:sz w:val="22"/>
                <w:szCs w:val="22"/>
              </w:rPr>
            </w:r>
          </w:p>
        </w:tc>
        <w:tc>
          <w:tcPr>
            <w:tcW w:w="3004" w:type="dxa"/>
            <w:tcBorders/>
          </w:tcPr>
          <w:p>
            <w:pPr>
              <w:pStyle w:val="Normal"/>
              <w:widowControl w:val="false"/>
              <w:jc w:val="center"/>
              <w:rPr>
                <w:rFonts w:ascii="Arial" w:hAnsi="Arial" w:cs="Arial"/>
                <w:sz w:val="22"/>
                <w:szCs w:val="22"/>
              </w:rPr>
            </w:pPr>
            <w:r>
              <w:rPr>
                <w:rFonts w:cs="Arial" w:ascii="Arial" w:hAnsi="Arial"/>
                <w:sz w:val="22"/>
                <w:szCs w:val="22"/>
              </w:rPr>
              <w:t>………………………</w:t>
            </w:r>
            <w:r>
              <w:rPr>
                <w:rFonts w:cs="Arial" w:ascii="Arial" w:hAnsi="Arial"/>
                <w:sz w:val="22"/>
                <w:szCs w:val="22"/>
              </w:rPr>
              <w:t>..</w:t>
            </w:r>
          </w:p>
          <w:p>
            <w:pPr>
              <w:pStyle w:val="Normal"/>
              <w:widowControl w:val="false"/>
              <w:jc w:val="center"/>
              <w:rPr>
                <w:rFonts w:ascii="Arial" w:hAnsi="Arial" w:cs="Arial"/>
                <w:sz w:val="22"/>
                <w:szCs w:val="22"/>
              </w:rPr>
            </w:pPr>
            <w:r>
              <w:rPr>
                <w:rFonts w:cs="Arial" w:ascii="Arial" w:hAnsi="Arial"/>
                <w:sz w:val="22"/>
                <w:szCs w:val="22"/>
              </w:rPr>
              <w:t>(podpis)</w:t>
            </w:r>
          </w:p>
        </w:tc>
      </w:tr>
    </w:tbl>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r>
        <w:br w:type="page"/>
      </w:r>
    </w:p>
    <w:p>
      <w:pPr>
        <w:pStyle w:val="Normal"/>
        <w:rPr>
          <w:sz w:val="21"/>
          <w:szCs w:val="21"/>
        </w:rPr>
      </w:pPr>
      <w:r>
        <w:rPr/>
        <w:drawing>
          <wp:inline distT="0" distB="0" distL="0" distR="0">
            <wp:extent cx="4713605" cy="6714490"/>
            <wp:effectExtent l="0" t="0" r="0" b="0"/>
            <wp:docPr id="4" name="Obraz 9" descr="ARKADIUSZ SARLEJ upraw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9" descr="ARKADIUSZ SARLEJ uprawnienia"/>
                    <pic:cNvPicPr>
                      <a:picLocks noChangeAspect="1" noChangeArrowheads="1"/>
                    </pic:cNvPicPr>
                  </pic:nvPicPr>
                  <pic:blipFill>
                    <a:blip r:embed="rId5"/>
                    <a:stretch>
                      <a:fillRect/>
                    </a:stretch>
                  </pic:blipFill>
                  <pic:spPr bwMode="auto">
                    <a:xfrm>
                      <a:off x="0" y="0"/>
                      <a:ext cx="4713605" cy="6714490"/>
                    </a:xfrm>
                    <a:prstGeom prst="rect">
                      <a:avLst/>
                    </a:prstGeom>
                  </pic:spPr>
                </pic:pic>
              </a:graphicData>
            </a:graphic>
          </wp:inline>
        </w:drawing>
      </w:r>
    </w:p>
    <w:p>
      <w:pPr>
        <w:pStyle w:val="Tytu"/>
        <w:ind w:left="4820" w:right="-567" w:hanging="284"/>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486400" cy="7764780"/>
            <wp:effectExtent l="0" t="0" r="0" b="0"/>
            <wp:wrapSquare wrapText="largest"/>
            <wp:docPr id="5"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2" descr=""/>
                    <pic:cNvPicPr>
                      <a:picLocks noChangeAspect="1" noChangeArrowheads="1"/>
                    </pic:cNvPicPr>
                  </pic:nvPicPr>
                  <pic:blipFill>
                    <a:blip r:embed="rId6"/>
                    <a:stretch>
                      <a:fillRect/>
                    </a:stretch>
                  </pic:blipFill>
                  <pic:spPr bwMode="auto">
                    <a:xfrm>
                      <a:off x="0" y="0"/>
                      <a:ext cx="5486400" cy="7764780"/>
                    </a:xfrm>
                    <a:prstGeom prst="rect">
                      <a:avLst/>
                    </a:prstGeom>
                  </pic:spPr>
                </pic:pic>
              </a:graphicData>
            </a:graphic>
          </wp:anchor>
        </w:drawing>
      </w:r>
      <w:r>
        <w:rPr>
          <w:rFonts w:eastAsia="Tahoma" w:cs="Tahoma" w:ascii="Tahoma" w:hAnsi="Tahoma"/>
          <w:b w:val="false"/>
          <w:bCs w:val="false"/>
          <w:i/>
          <w:iCs/>
          <w:sz w:val="22"/>
          <w:szCs w:val="22"/>
        </w:rPr>
        <w:t>Bielsko Biała, lipiec 2024r.</w:t>
      </w:r>
    </w:p>
    <w:p>
      <w:pPr>
        <w:pStyle w:val="Normal"/>
        <w:jc w:val="center"/>
        <w:rPr>
          <w:rFonts w:ascii="Arial" w:hAnsi="Arial"/>
          <w:b/>
          <w:bCs/>
          <w:color w:val="9CC2E5"/>
        </w:rPr>
      </w:pPr>
      <w:r>
        <w:rPr>
          <w:rFonts w:ascii="Arial" w:hAnsi="Arial"/>
          <w:b/>
          <w:bCs/>
          <w:color w:val="9CC2E5"/>
        </w:rPr>
      </w:r>
    </w:p>
    <w:p>
      <w:pPr>
        <w:pStyle w:val="Normal"/>
        <w:jc w:val="center"/>
        <w:rPr>
          <w:rFonts w:ascii="Arial" w:hAnsi="Arial"/>
          <w:b/>
          <w:bCs/>
          <w:color w:val="9CC2E5"/>
        </w:rPr>
      </w:pPr>
      <w:r>
        <w:rPr>
          <w:rFonts w:ascii="Arial" w:hAnsi="Arial"/>
          <w:b/>
          <w:bCs/>
          <w:color w:val="9CC2E5"/>
        </w:rPr>
      </w:r>
    </w:p>
    <w:p>
      <w:pPr>
        <w:pStyle w:val="Normal"/>
        <w:jc w:val="center"/>
        <w:rPr>
          <w:rFonts w:ascii="Arial" w:hAnsi="Arial"/>
          <w:b/>
          <w:bCs/>
          <w:color w:val="9CC2E5"/>
        </w:rPr>
      </w:pPr>
      <w:r>
        <w:rPr>
          <w:rFonts w:ascii="Arial" w:hAnsi="Arial"/>
          <w:b/>
          <w:bCs/>
          <w:color w:val="9CC2E5"/>
        </w:rPr>
      </w:r>
    </w:p>
    <w:p>
      <w:pPr>
        <w:pStyle w:val="Normal"/>
        <w:jc w:val="center"/>
        <w:rPr/>
      </w:pPr>
      <w:r>
        <w:rPr>
          <w:rFonts w:ascii="Arial" w:hAnsi="Arial"/>
          <w:b/>
          <w:bCs/>
          <w:color w:val="9CC2E5"/>
        </w:rPr>
        <w:br/>
      </w:r>
      <w:r>
        <w:rPr>
          <w:rFonts w:ascii="Arial" w:hAnsi="Arial"/>
          <w:b/>
          <w:bCs/>
        </w:rPr>
        <w:t xml:space="preserve"> </w:t>
      </w:r>
      <w:r>
        <w:rPr>
          <w:rFonts w:eastAsia="Times New Roman" w:ascii="Tahoma" w:hAnsi="Tahoma"/>
          <w:b/>
          <w:bCs/>
          <w:kern w:val="0"/>
          <w:sz w:val="28"/>
        </w:rPr>
        <w:t>OŚWIADCZENIE PROJEKTANTA SPRAWDZAJĄCEGO</w:t>
      </w:r>
      <w:r>
        <w:rPr>
          <w:rFonts w:ascii="Arial" w:hAnsi="Arial"/>
          <w:b/>
          <w:bCs/>
        </w:rPr>
        <w:br/>
      </w:r>
    </w:p>
    <w:p>
      <w:pPr>
        <w:pStyle w:val="Normal"/>
        <w:spacing w:before="0" w:after="0"/>
        <w:contextualSpacing/>
        <w:jc w:val="center"/>
        <w:rPr>
          <w:rFonts w:ascii="Arial" w:hAnsi="Arial"/>
          <w:sz w:val="22"/>
          <w:szCs w:val="22"/>
        </w:rPr>
      </w:pPr>
      <w:r>
        <w:rPr>
          <w:rFonts w:ascii="Arial" w:hAnsi="Arial"/>
          <w:b/>
          <w:bCs/>
          <w:sz w:val="22"/>
          <w:szCs w:val="22"/>
        </w:rPr>
        <w:t>Oświadczam jako projektant</w:t>
      </w:r>
      <w:r>
        <w:rPr>
          <w:rFonts w:ascii="Arial" w:hAnsi="Arial"/>
          <w:b/>
          <w:sz w:val="22"/>
          <w:szCs w:val="22"/>
        </w:rPr>
        <w:t xml:space="preserve"> sprawdzający</w:t>
      </w:r>
      <w:r>
        <w:rPr>
          <w:rFonts w:ascii="Arial" w:hAnsi="Arial"/>
          <w:sz w:val="22"/>
          <w:szCs w:val="22"/>
        </w:rPr>
        <w:t>, że</w:t>
      </w:r>
      <w:r>
        <w:rPr>
          <w:rFonts w:cs="Arial" w:ascii="Arial" w:hAnsi="Arial"/>
          <w:sz w:val="22"/>
          <w:szCs w:val="22"/>
        </w:rPr>
        <w:t xml:space="preserve"> niniejszy projekt techniczny</w:t>
      </w:r>
    </w:p>
    <w:p>
      <w:pPr>
        <w:pStyle w:val="Normal"/>
        <w:jc w:val="center"/>
        <w:rPr>
          <w:rFonts w:ascii="Arial" w:hAnsi="Arial" w:cs="Arial"/>
          <w:sz w:val="22"/>
          <w:szCs w:val="22"/>
        </w:rPr>
      </w:pPr>
      <w:r>
        <w:rPr>
          <w:rFonts w:cs="Arial" w:ascii="Arial" w:hAnsi="Arial"/>
          <w:sz w:val="22"/>
          <w:szCs w:val="22"/>
        </w:rPr>
      </w:r>
    </w:p>
    <w:p>
      <w:pPr>
        <w:pStyle w:val="Normal"/>
        <w:jc w:val="center"/>
        <w:rPr>
          <w:rFonts w:ascii="Arial" w:hAnsi="Arial" w:cs="Arial"/>
          <w:b/>
          <w:bCs/>
          <w:sz w:val="22"/>
          <w:szCs w:val="22"/>
        </w:rPr>
      </w:pPr>
      <w:r>
        <w:rPr>
          <w:rFonts w:cs="Arial" w:ascii="Arial" w:hAnsi="Arial"/>
          <w:sz w:val="22"/>
          <w:szCs w:val="22"/>
        </w:rPr>
        <w:t xml:space="preserve">w zakresie </w:t>
      </w:r>
      <w:r>
        <w:rPr>
          <w:rFonts w:cs="Arial" w:ascii="Arial" w:hAnsi="Arial"/>
          <w:b/>
          <w:bCs/>
          <w:sz w:val="22"/>
          <w:szCs w:val="22"/>
        </w:rPr>
        <w:t>architektury</w:t>
      </w:r>
      <w:r>
        <w:rPr>
          <w:rFonts w:cs="Arial" w:ascii="Arial" w:hAnsi="Arial"/>
          <w:sz w:val="22"/>
          <w:szCs w:val="22"/>
        </w:rPr>
        <w:t xml:space="preserve">, dla zmiany aranżacji wnętrz i przebudowy lokali usługowych </w:t>
      </w:r>
    </w:p>
    <w:p>
      <w:pPr>
        <w:pStyle w:val="Normal"/>
        <w:jc w:val="center"/>
        <w:rPr>
          <w:rFonts w:ascii="Arial" w:hAnsi="Arial" w:cs="Arial"/>
          <w:b/>
          <w:bCs/>
          <w:sz w:val="22"/>
          <w:szCs w:val="22"/>
        </w:rPr>
      </w:pPr>
      <w:r>
        <w:rPr>
          <w:rFonts w:cs="Arial" w:ascii="Arial" w:hAnsi="Arial"/>
          <w:sz w:val="22"/>
          <w:szCs w:val="22"/>
        </w:rPr>
        <w:br/>
      </w:r>
      <w:r>
        <w:rPr>
          <w:rFonts w:cs="Arial" w:ascii="Arial" w:hAnsi="Arial"/>
          <w:b/>
          <w:bCs/>
          <w:sz w:val="22"/>
          <w:szCs w:val="22"/>
        </w:rPr>
        <w:t>Lokal 0.11 w budynku handlowym zlokalizowanym w Bielsku-Białej (43-300) przy ul. Warszawskiej 180</w:t>
      </w:r>
    </w:p>
    <w:p>
      <w:pPr>
        <w:pStyle w:val="Normal"/>
        <w:spacing w:before="0" w:after="0"/>
        <w:contextualSpacing/>
        <w:jc w:val="center"/>
        <w:rPr>
          <w:rFonts w:ascii="Arial" w:hAnsi="Arial" w:cs="Arial"/>
          <w:b/>
          <w:bCs/>
        </w:rPr>
      </w:pPr>
      <w:r>
        <w:rPr>
          <w:rFonts w:cs="Arial" w:ascii="Arial" w:hAnsi="Arial"/>
          <w:b/>
          <w:bCs/>
        </w:rPr>
      </w:r>
    </w:p>
    <w:p>
      <w:pPr>
        <w:pStyle w:val="Normal"/>
        <w:jc w:val="center"/>
        <w:rPr>
          <w:sz w:val="22"/>
          <w:szCs w:val="22"/>
        </w:rPr>
      </w:pPr>
      <w:r>
        <w:rPr>
          <w:rFonts w:cs="Arial" w:ascii="Arial" w:hAnsi="Arial"/>
          <w:sz w:val="22"/>
          <w:szCs w:val="22"/>
        </w:rPr>
        <w:t>został wykonany zgodnie z obowiązującymi przepisami i zasadami wiedzy technicznej.</w:t>
      </w:r>
    </w:p>
    <w:p>
      <w:pPr>
        <w:pStyle w:val="Normal"/>
        <w:jc w:val="center"/>
        <w:rPr>
          <w:rFonts w:ascii="Arial" w:hAnsi="Arial" w:cs="Arial"/>
        </w:rPr>
      </w:pPr>
      <w:r>
        <w:rPr>
          <w:rFonts w:cs="Arial" w:ascii="Arial" w:hAnsi="Arial"/>
        </w:rPr>
      </w:r>
    </w:p>
    <w:p>
      <w:pPr>
        <w:pStyle w:val="Tretekstu"/>
        <w:jc w:val="left"/>
        <w:rPr>
          <w:color w:val="auto"/>
          <w:sz w:val="22"/>
          <w:szCs w:val="22"/>
        </w:rPr>
      </w:pPr>
      <w:r>
        <w:rPr>
          <w:color w:val="auto"/>
          <w:sz w:val="22"/>
          <w:szCs w:val="22"/>
        </w:rPr>
        <w:t xml:space="preserve">Wymagane zgodnie z art. 20 ust. 4 ustawy z dnia 7 lipca 1994 roku – Prawo budowlane. </w:t>
      </w:r>
      <w:r>
        <w:rPr>
          <w:color w:val="auto"/>
        </w:rPr>
        <w:br/>
      </w:r>
    </w:p>
    <w:p>
      <w:pPr>
        <w:pStyle w:val="Tretekstu"/>
        <w:jc w:val="left"/>
        <w:rPr>
          <w:color w:val="auto"/>
          <w:sz w:val="22"/>
          <w:szCs w:val="22"/>
        </w:rPr>
      </w:pPr>
      <w:r>
        <w:rPr>
          <w:color w:val="auto"/>
        </w:rPr>
        <w:t>Ponadto oświadczam, że projekt został sporządzony zgodnie z Instrukcją Techniczną Centrum oraz regulaminem Centrum.</w:t>
      </w:r>
    </w:p>
    <w:p>
      <w:pPr>
        <w:pStyle w:val="Normal"/>
        <w:ind w:right="-567" w:hanging="0"/>
        <w:jc w:val="both"/>
        <w:rPr>
          <w:rFonts w:ascii="Arial" w:hAnsi="Arial"/>
        </w:rPr>
      </w:pPr>
      <w:r>
        <w:rPr>
          <w:rFonts w:ascii="Arial" w:hAnsi="Arial"/>
          <w:color w:val="9CC2E5"/>
          <w:szCs w:val="20"/>
        </w:rPr>
        <w:br/>
      </w:r>
    </w:p>
    <w:p>
      <w:pPr>
        <w:pStyle w:val="Normal"/>
        <w:ind w:right="-567" w:hanging="0"/>
        <w:jc w:val="both"/>
        <w:rPr>
          <w:rFonts w:ascii="Arial" w:hAnsi="Arial"/>
          <w:b/>
          <w:color w:val="9CC2E5"/>
          <w:szCs w:val="20"/>
          <w:u w:val="single"/>
        </w:rPr>
      </w:pPr>
      <w:r>
        <w:rPr>
          <w:rFonts w:ascii="Arial" w:hAnsi="Arial"/>
          <w:b/>
          <w:color w:val="9CC2E5"/>
          <w:szCs w:val="20"/>
          <w:u w:val="single"/>
        </w:rPr>
      </w:r>
    </w:p>
    <w:p>
      <w:pPr>
        <w:pStyle w:val="Normal"/>
        <w:jc w:val="center"/>
        <w:rPr>
          <w:rFonts w:ascii="Arial" w:hAnsi="Arial"/>
          <w:b/>
          <w:sz w:val="21"/>
          <w:szCs w:val="21"/>
          <w:u w:val="single"/>
        </w:rPr>
      </w:pPr>
      <w:r>
        <w:rPr>
          <w:rFonts w:ascii="Arial" w:hAnsi="Arial"/>
          <w:b/>
          <w:sz w:val="21"/>
          <w:szCs w:val="21"/>
          <w:u w:val="single"/>
        </w:rPr>
      </w:r>
    </w:p>
    <w:p>
      <w:pPr>
        <w:pStyle w:val="Normal"/>
        <w:jc w:val="center"/>
        <w:rPr>
          <w:rFonts w:ascii="Arial" w:hAnsi="Arial"/>
          <w:b/>
          <w:sz w:val="21"/>
          <w:szCs w:val="21"/>
          <w:u w:val="single"/>
        </w:rPr>
      </w:pPr>
      <w:r>
        <w:rPr>
          <w:rFonts w:ascii="Arial" w:hAnsi="Arial"/>
          <w:b/>
          <w:sz w:val="21"/>
          <w:szCs w:val="21"/>
          <w:u w:val="single"/>
        </w:rPr>
      </w:r>
    </w:p>
    <w:p>
      <w:pPr>
        <w:pStyle w:val="Normal"/>
        <w:jc w:val="right"/>
        <w:rPr>
          <w:rFonts w:ascii="Arial" w:hAnsi="Arial"/>
        </w:rPr>
      </w:pPr>
      <w:r>
        <w:rPr>
          <w:rFonts w:ascii="Arial" w:hAnsi="Arial"/>
          <w:sz w:val="21"/>
          <w:szCs w:val="21"/>
        </w:rPr>
        <w:t>……………………………………………………</w:t>
      </w:r>
      <w:r>
        <w:rPr>
          <w:rFonts w:ascii="Arial" w:hAnsi="Arial"/>
          <w:sz w:val="21"/>
          <w:szCs w:val="21"/>
        </w:rPr>
        <w:br/>
        <w:t>podpis</w:t>
      </w:r>
    </w:p>
    <w:p>
      <w:pPr>
        <w:pStyle w:val="Normal"/>
        <w:spacing w:before="0" w:after="0"/>
        <w:contextualSpacing/>
        <w:jc w:val="right"/>
        <w:rPr>
          <w:rFonts w:ascii="Arial" w:hAnsi="Arial"/>
        </w:rPr>
      </w:pPr>
      <w:r>
        <w:rPr>
          <w:rFonts w:ascii="Arial" w:hAnsi="Arial"/>
        </w:rPr>
      </w:r>
      <w:r>
        <w:br w:type="page"/>
      </w:r>
    </w:p>
    <w:p>
      <w:pPr>
        <w:pStyle w:val="Normal"/>
        <w:spacing w:before="0" w:after="0"/>
        <w:contextualSpacing/>
        <w:jc w:val="right"/>
        <w:rPr/>
      </w:pPr>
      <w:r>
        <w:rPr/>
      </w:r>
    </w:p>
    <w:p>
      <w:pPr>
        <w:pStyle w:val="Normal"/>
        <w:rPr>
          <w:rStyle w:val="Nagwek1Znak"/>
          <w:rFonts w:ascii="Calibri Light" w:hAnsi="Calibri Light" w:eastAsia="Calibri"/>
          <w:kern w:val="0"/>
          <w:sz w:val="26"/>
          <w:szCs w:val="26"/>
          <w:lang w:eastAsia="en-US"/>
        </w:rPr>
      </w:pPr>
      <w:r>
        <w:rPr>
          <w:rFonts w:eastAsia="Calibri" w:ascii="Calibri Light" w:hAnsi="Calibri Light"/>
          <w:kern w:val="0"/>
          <w:sz w:val="26"/>
          <w:szCs w:val="26"/>
          <w:lang w:eastAsia="en-US"/>
        </w:rPr>
      </w:r>
    </w:p>
    <w:p>
      <w:pPr>
        <w:pStyle w:val="Normal"/>
        <w:keepNext w:val="true"/>
        <w:jc w:val="center"/>
        <w:rPr>
          <w:rFonts w:ascii="Arial" w:hAnsi="Arial" w:cs="Arial"/>
          <w:b/>
          <w:bCs/>
        </w:rPr>
      </w:pPr>
      <w:r>
        <w:rPr>
          <w:rFonts w:cs="Arial" w:ascii="Arial" w:hAnsi="Arial"/>
          <w:b/>
          <w:bCs/>
        </w:rPr>
        <w:t>Spis treści</w:t>
      </w:r>
    </w:p>
    <w:p>
      <w:pPr>
        <w:pStyle w:val="Normal"/>
        <w:rPr>
          <w:rFonts w:ascii="Arial" w:hAnsi="Arial" w:cs="Arial"/>
          <w:b/>
          <w:bCs/>
          <w:sz w:val="20"/>
          <w:szCs w:val="20"/>
        </w:rPr>
      </w:pPr>
      <w:r>
        <w:rPr>
          <w:rFonts w:cs="Arial" w:ascii="Arial" w:hAnsi="Arial"/>
          <w:b/>
          <w:bCs/>
          <w:sz w:val="20"/>
          <w:szCs w:val="20"/>
        </w:rPr>
      </w:r>
    </w:p>
    <w:p>
      <w:pPr>
        <w:pStyle w:val="Normal"/>
        <w:rPr>
          <w:rFonts w:ascii="Arial" w:hAnsi="Arial" w:cs="Arial"/>
        </w:rPr>
      </w:pPr>
      <w:r>
        <w:rPr>
          <w:rFonts w:cs="Arial" w:ascii="Arial" w:hAnsi="Arial"/>
        </w:rPr>
        <w:t>ZAŁĄCZNIKI FORMALNO-PRAWNE i OŚWIADCZENIA…………………………..</w:t>
        <w:br/>
        <w:t>SPIS TREŚCI…….……………………………………………………………………….</w:t>
        <w:br/>
        <w:t>SPIS RYSUNKÓW………………………………………………………………….…...</w:t>
      </w:r>
      <w:r>
        <w:rPr/>
        <w:br/>
      </w:r>
    </w:p>
    <w:sdt>
      <w:sdtPr>
        <w:docPartObj>
          <w:docPartGallery w:val="Table of Contents"/>
          <w:docPartUnique w:val="true"/>
        </w:docPartObj>
      </w:sdtPr>
      <w:sdtContent>
        <w:p>
          <w:pPr>
            <w:pStyle w:val="Spistreci1"/>
            <w:tabs>
              <w:tab w:val="clear" w:pos="708"/>
              <w:tab w:val="left" w:pos="566" w:leader="none"/>
              <w:tab w:val="right" w:pos="8630" w:leader="dot"/>
            </w:tabs>
            <w:rPr>
              <w:rFonts w:eastAsia="Times New Roman"/>
              <w:lang w:val="en-US" w:eastAsia="en-US" w:bidi="ar-SA"/>
            </w:rPr>
          </w:pPr>
          <w:r>
            <w:fldChar w:fldCharType="begin"/>
          </w:r>
          <w:r>
            <w:rPr>
              <w:rStyle w:val="Czeindeksu"/>
            </w:rPr>
            <w:instrText xml:space="preserve"> TOC \o "1-9" \t "Nagłówek 1,1,Nagłówek 1,1,Nagłówek 1,1,Nagłówek 1,1,Nagłówek 1,1,Nagłówek 1,1,Nagłówek 1,1,Nagłówek 1,1,Nagłówek 1,1,Nagłówek 1,1,Nagłówek 1,1,Nagłówek 1,1,Nagłówek 1,1,Nagłówek 1,1,Nagłówek 1,1,Nagłówek 1,1,Nagłówek 1,1,Nagłówek 1,1,Nagłówek 1,1,Nagłówek 1,1,Nagłówek 1,1,Nagłówek 1,1,Nagłówek 1,1,Nagłówek 2,2,Nagłówek 2,2,Nagłówek 2,2,Nagłówek 2,2,Nagłówek 2,2,Nagłówek 2,2,Nagłówek 2,2,Nagłówek 2,2,Nagłówek 2,2,Nagłówek 2,2,Nagłówek 2,2,Nagłówek 2,2,Nagłówek 2,2,Nagłówek 2,2,Nagłówek 2,2,Nagłówek 2,2,Nagłówek 2,2,Nagłówek 2,2,Nagłówek 2,2,Nagłówek 2,2,Nagłówek 2,2,Nagłówek 2,2,Nagłówek 2,2,Nagłówek 10,9" \h</w:instrText>
          </w:r>
          <w:r>
            <w:rPr>
              <w:rStyle w:val="Czeindeksu"/>
            </w:rPr>
            <w:fldChar w:fldCharType="separate"/>
          </w:r>
          <w:hyperlink w:anchor="_Toc358293454">
            <w:r>
              <w:rPr>
                <w:rStyle w:val="Czeindeksu"/>
              </w:rPr>
              <w:t>I. OPIS TECHNICZNY – CZĘŚĆ OGÓLNA</w:t>
              <w:tab/>
            </w:r>
          </w:hyperlink>
          <w:r>
            <w:rPr/>
            <w:t>…</w:t>
          </w:r>
        </w:p>
        <w:p>
          <w:pPr>
            <w:pStyle w:val="Spistreci2"/>
            <w:tabs>
              <w:tab w:val="clear" w:pos="708"/>
              <w:tab w:val="left" w:pos="849" w:leader="none"/>
              <w:tab w:val="right" w:pos="8630" w:leader="dot"/>
            </w:tabs>
            <w:rPr>
              <w:rFonts w:eastAsia="Times New Roman"/>
              <w:lang w:val="en-US" w:eastAsia="en-US" w:bidi="ar-SA"/>
            </w:rPr>
          </w:pPr>
          <w:hyperlink w:anchor="_Toc358293455">
            <w:r>
              <w:rPr>
                <w:rStyle w:val="Czeindeksu"/>
              </w:rPr>
              <w:t>1.1</w:t>
            </w:r>
            <w:r>
              <w:rPr>
                <w:rStyle w:val="Czeindeksu"/>
                <w:rFonts w:eastAsia="Times New Roman"/>
                <w:lang w:val="en-US" w:eastAsia="en-US" w:bidi="ar-SA"/>
              </w:rPr>
              <w:tab/>
            </w:r>
            <w:r>
              <w:rPr>
                <w:rStyle w:val="Czeindeksu"/>
              </w:rPr>
              <w:t>TEMAT OPRACOWANIA</w:t>
              <w:tab/>
            </w:r>
          </w:hyperlink>
          <w:r>
            <w:rPr>
              <w:rFonts w:eastAsia="Times New Roman"/>
              <w:lang w:val="en-US" w:eastAsia="en-US" w:bidi="ar-SA"/>
            </w:rPr>
            <w:t>11</w:t>
          </w:r>
        </w:p>
        <w:p>
          <w:pPr>
            <w:pStyle w:val="Spistreci2"/>
            <w:tabs>
              <w:tab w:val="clear" w:pos="708"/>
              <w:tab w:val="left" w:pos="849" w:leader="none"/>
              <w:tab w:val="right" w:pos="8630" w:leader="dot"/>
            </w:tabs>
            <w:rPr>
              <w:rFonts w:eastAsia="Times New Roman"/>
              <w:lang w:val="en-US" w:eastAsia="en-US" w:bidi="ar-SA"/>
            </w:rPr>
          </w:pPr>
          <w:hyperlink w:anchor="_Toc358293456">
            <w:r>
              <w:rPr>
                <w:rStyle w:val="Czeindeksu"/>
              </w:rPr>
              <w:t>1.2</w:t>
            </w:r>
            <w:r>
              <w:rPr>
                <w:rStyle w:val="Czeindeksu"/>
                <w:rFonts w:eastAsia="Times New Roman"/>
                <w:lang w:val="en-US" w:eastAsia="en-US" w:bidi="ar-SA"/>
              </w:rPr>
              <w:tab/>
            </w:r>
            <w:r>
              <w:rPr>
                <w:rStyle w:val="Czeindeksu"/>
              </w:rPr>
              <w:t>CEL I ZAKRES OPRACOWANIA…………………………………………</w:t>
            </w:r>
          </w:hyperlink>
          <w:r>
            <w:rPr/>
            <w:t xml:space="preserve">  </w:t>
          </w:r>
          <w:r>
            <w:rPr>
              <w:rFonts w:eastAsia="Times New Roman"/>
              <w:lang w:val="en-US" w:eastAsia="en-US" w:bidi="ar-SA"/>
            </w:rPr>
            <w:t>11</w:t>
          </w:r>
        </w:p>
        <w:p>
          <w:pPr>
            <w:pStyle w:val="Spistreci2"/>
            <w:tabs>
              <w:tab w:val="clear" w:pos="708"/>
              <w:tab w:val="left" w:pos="849" w:leader="none"/>
              <w:tab w:val="right" w:pos="8630" w:leader="dot"/>
            </w:tabs>
            <w:ind w:left="708" w:hanging="468"/>
            <w:rPr>
              <w:color w:val="0000FF"/>
              <w:u w:val="single"/>
            </w:rPr>
          </w:pPr>
          <w:hyperlink w:anchor="_Toc358293457">
            <w:r>
              <w:rPr>
                <w:rStyle w:val="Czeindeksu"/>
              </w:rPr>
              <w:t>1.3</w:t>
            </w:r>
            <w:r>
              <w:rPr>
                <w:rStyle w:val="Czeindeksu"/>
                <w:rFonts w:eastAsia="Times New Roman"/>
                <w:lang w:val="en-US" w:eastAsia="en-US" w:bidi="ar-SA"/>
              </w:rPr>
              <w:tab/>
              <w:t xml:space="preserve">  </w:t>
            </w:r>
            <w:r>
              <w:rPr>
                <w:rStyle w:val="Czeindeksu"/>
              </w:rPr>
              <w:t xml:space="preserve">DANE OGÓLNE DOTYCZĄCE CZĘŚCI OBJĘTEJ ZAKRESEM   </w:t>
              <w:br/>
              <w:t xml:space="preserve"> OPRACOWANIA:</w:t>
              <w:tab/>
            </w:r>
          </w:hyperlink>
          <w:r>
            <w:rPr/>
            <w:t>12</w:t>
          </w:r>
        </w:p>
        <w:p>
          <w:pPr>
            <w:pStyle w:val="Spistreci2"/>
            <w:tabs>
              <w:tab w:val="clear" w:pos="708"/>
              <w:tab w:val="left" w:pos="849" w:leader="none"/>
              <w:tab w:val="right" w:pos="8630" w:leader="dot"/>
            </w:tabs>
            <w:rPr/>
          </w:pPr>
          <w:hyperlink w:anchor="_Toc358293458">
            <w:r>
              <w:rPr>
                <w:rStyle w:val="Czeindeksu"/>
              </w:rPr>
              <w:t>1.4</w:t>
            </w:r>
            <w:r>
              <w:rPr>
                <w:rStyle w:val="Czeindeksu"/>
                <w:rFonts w:eastAsia="Times New Roman"/>
                <w:lang w:val="en-US" w:eastAsia="en-US" w:bidi="ar-SA"/>
              </w:rPr>
              <w:tab/>
            </w:r>
            <w:r>
              <w:rPr>
                <w:rStyle w:val="Czeindeksu"/>
              </w:rPr>
              <w:t>PODSTAWA OPRACOWANIA</w:t>
              <w:tab/>
            </w:r>
          </w:hyperlink>
          <w:r>
            <w:rPr>
              <w:rFonts w:eastAsia="Times New Roman"/>
              <w:lang w:val="en-US" w:eastAsia="en-US" w:bidi="ar-SA"/>
            </w:rPr>
            <w:t>13</w:t>
          </w:r>
        </w:p>
        <w:p>
          <w:pPr>
            <w:pStyle w:val="Spistreci1"/>
            <w:tabs>
              <w:tab w:val="clear" w:pos="708"/>
              <w:tab w:val="left" w:pos="566" w:leader="none"/>
              <w:tab w:val="right" w:pos="8630" w:leader="dot"/>
            </w:tabs>
            <w:ind w:left="240" w:hanging="240"/>
            <w:rPr/>
          </w:pPr>
          <w:r>
            <w:rPr/>
          </w:r>
        </w:p>
        <w:p>
          <w:pPr>
            <w:pStyle w:val="Spistreci1"/>
            <w:tabs>
              <w:tab w:val="clear" w:pos="708"/>
              <w:tab w:val="left" w:pos="566" w:leader="none"/>
              <w:tab w:val="right" w:pos="8630" w:leader="dot"/>
            </w:tabs>
            <w:ind w:left="240" w:hanging="240"/>
            <w:rPr>
              <w:rFonts w:eastAsia="Times New Roman"/>
              <w:lang w:eastAsia="en-US" w:bidi="ar-SA"/>
            </w:rPr>
          </w:pPr>
          <w:hyperlink w:anchor="_Toc358293459">
            <w:r>
              <w:rPr>
                <w:rStyle w:val="Czeindeksu"/>
              </w:rPr>
              <w:t>II.</w:t>
            </w:r>
            <w:r>
              <w:rPr>
                <w:rStyle w:val="Czeindeksu"/>
                <w:rFonts w:eastAsia="Times New Roman"/>
                <w:lang w:eastAsia="en-US" w:bidi="ar-SA"/>
              </w:rPr>
              <w:tab/>
            </w:r>
            <w:r>
              <w:rPr>
                <w:webHidden/>
              </w:rPr>
              <w:fldChar w:fldCharType="begin"/>
            </w:r>
            <w:r>
              <w:rPr>
                <w:webHidden/>
              </w:rPr>
              <w:instrText xml:space="preserve">PAGEREF _Toc358293459 \h</w:instrText>
            </w:r>
            <w:r>
              <w:rPr>
                <w:webHidden/>
              </w:rPr>
              <w:fldChar w:fldCharType="separate"/>
            </w:r>
            <w:r>
              <w:rPr>
                <w:rStyle w:val="Czeindeksu"/>
                <w:b/>
                <w:bCs/>
                <w:vanish w:val="false"/>
              </w:rPr>
              <w:t>Błąd! Nie zdefiniowano zakładki.</w:t>
            </w:r>
            <w:r>
              <w:rPr>
                <w:webHidden/>
              </w:rPr>
              <w:fldChar w:fldCharType="end"/>
            </w:r>
          </w:hyperlink>
        </w:p>
        <w:p>
          <w:pPr>
            <w:pStyle w:val="Spistreci2"/>
            <w:tabs>
              <w:tab w:val="clear" w:pos="708"/>
              <w:tab w:val="left" w:pos="849" w:leader="none"/>
              <w:tab w:val="right" w:pos="8630" w:leader="dot"/>
            </w:tabs>
            <w:rPr>
              <w:rFonts w:eastAsia="Times New Roman"/>
              <w:lang w:eastAsia="en-US" w:bidi="ar-SA"/>
            </w:rPr>
          </w:pPr>
          <w:hyperlink w:anchor="_Toc358293460">
            <w:r>
              <w:rPr>
                <w:rStyle w:val="Czeindeksu"/>
              </w:rPr>
              <w:t>2.1</w:t>
            </w:r>
            <w:r>
              <w:rPr>
                <w:rStyle w:val="Czeindeksu"/>
                <w:rFonts w:eastAsia="Times New Roman"/>
                <w:lang w:eastAsia="en-US" w:bidi="ar-SA"/>
              </w:rPr>
              <w:tab/>
            </w:r>
            <w:r>
              <w:rPr>
                <w:rStyle w:val="Czeindeksu"/>
              </w:rPr>
              <w:t>Ściany</w:t>
              <w:tab/>
            </w:r>
          </w:hyperlink>
          <w:r>
            <w:rPr/>
            <w:t>14</w:t>
          </w:r>
        </w:p>
        <w:p>
          <w:pPr>
            <w:pStyle w:val="Spistreci2"/>
            <w:tabs>
              <w:tab w:val="clear" w:pos="708"/>
              <w:tab w:val="left" w:pos="849" w:leader="none"/>
              <w:tab w:val="right" w:pos="8630" w:leader="dot"/>
            </w:tabs>
            <w:rPr>
              <w:rFonts w:eastAsia="Times New Roman"/>
              <w:lang w:eastAsia="en-US" w:bidi="ar-SA"/>
            </w:rPr>
          </w:pPr>
          <w:hyperlink w:anchor="_Toc358293461">
            <w:r>
              <w:rPr>
                <w:rStyle w:val="Czeindeksu"/>
              </w:rPr>
              <w:t>2.2</w:t>
            </w:r>
            <w:r>
              <w:rPr>
                <w:rStyle w:val="Czeindeksu"/>
                <w:rFonts w:eastAsia="Times New Roman"/>
                <w:lang w:eastAsia="en-US" w:bidi="ar-SA"/>
              </w:rPr>
              <w:tab/>
            </w:r>
            <w:r>
              <w:rPr>
                <w:rStyle w:val="Czeindeksu"/>
              </w:rPr>
              <w:t xml:space="preserve">Witryna – wejście </w:t>
              <w:tab/>
            </w:r>
          </w:hyperlink>
          <w:r>
            <w:rPr/>
            <w:t>16</w:t>
          </w:r>
        </w:p>
        <w:p>
          <w:pPr>
            <w:pStyle w:val="Spistreci2"/>
            <w:tabs>
              <w:tab w:val="clear" w:pos="708"/>
              <w:tab w:val="left" w:pos="849" w:leader="none"/>
              <w:tab w:val="right" w:pos="8630" w:leader="dot"/>
            </w:tabs>
            <w:rPr>
              <w:rFonts w:eastAsia="Times New Roman"/>
              <w:lang w:eastAsia="en-US" w:bidi="ar-SA"/>
            </w:rPr>
          </w:pPr>
          <w:hyperlink w:anchor="_Toc358293462">
            <w:r>
              <w:rPr>
                <w:rStyle w:val="Czeindeksu"/>
              </w:rPr>
              <w:t>2.3</w:t>
            </w:r>
            <w:r>
              <w:rPr>
                <w:rStyle w:val="Czeindeksu"/>
                <w:rFonts w:eastAsia="Times New Roman"/>
                <w:lang w:eastAsia="en-US" w:bidi="ar-SA"/>
              </w:rPr>
              <w:tab/>
            </w:r>
            <w:r>
              <w:rPr>
                <w:rStyle w:val="Czeindeksu"/>
              </w:rPr>
              <w:t>Podłogi</w:t>
              <w:tab/>
            </w:r>
          </w:hyperlink>
          <w:r>
            <w:rPr/>
            <w:t>17</w:t>
          </w:r>
        </w:p>
        <w:p>
          <w:pPr>
            <w:pStyle w:val="Spistreci2"/>
            <w:tabs>
              <w:tab w:val="clear" w:pos="708"/>
              <w:tab w:val="left" w:pos="849" w:leader="none"/>
              <w:tab w:val="right" w:pos="8630" w:leader="dot"/>
            </w:tabs>
            <w:rPr>
              <w:rFonts w:eastAsia="Times New Roman"/>
              <w:lang w:eastAsia="en-US" w:bidi="ar-SA"/>
            </w:rPr>
          </w:pPr>
          <w:hyperlink w:anchor="_Toc358293463">
            <w:r>
              <w:rPr>
                <w:rStyle w:val="Czeindeksu"/>
              </w:rPr>
              <w:t>2.4</w:t>
            </w:r>
            <w:r>
              <w:rPr>
                <w:rStyle w:val="Czeindeksu"/>
                <w:rFonts w:eastAsia="Times New Roman"/>
                <w:lang w:eastAsia="en-US" w:bidi="ar-SA"/>
              </w:rPr>
              <w:tab/>
            </w:r>
            <w:r>
              <w:rPr>
                <w:rStyle w:val="Czeindeksu"/>
              </w:rPr>
              <w:t>Sufity</w:t>
              <w:tab/>
            </w:r>
          </w:hyperlink>
          <w:r>
            <w:rPr/>
            <w:t>17</w:t>
          </w:r>
        </w:p>
        <w:p>
          <w:pPr>
            <w:pStyle w:val="Spistreci2"/>
            <w:tabs>
              <w:tab w:val="clear" w:pos="708"/>
              <w:tab w:val="left" w:pos="849" w:leader="none"/>
              <w:tab w:val="right" w:pos="8630" w:leader="dot"/>
            </w:tabs>
            <w:rPr>
              <w:rFonts w:eastAsia="Times New Roman"/>
              <w:lang w:eastAsia="en-US" w:bidi="ar-SA"/>
            </w:rPr>
          </w:pPr>
          <w:hyperlink w:anchor="_Toc358293464">
            <w:r>
              <w:rPr>
                <w:rStyle w:val="Czeindeksu"/>
              </w:rPr>
              <w:t>2.5</w:t>
            </w:r>
            <w:r>
              <w:rPr>
                <w:rStyle w:val="Czeindeksu"/>
                <w:rFonts w:eastAsia="Times New Roman"/>
                <w:lang w:eastAsia="en-US" w:bidi="ar-SA"/>
              </w:rPr>
              <w:tab/>
            </w:r>
            <w:r>
              <w:rPr>
                <w:rStyle w:val="Czeindeksu"/>
              </w:rPr>
              <w:t>Kolorystyka i elementy wyposażenia wnętrza</w:t>
              <w:tab/>
            </w:r>
          </w:hyperlink>
          <w:r>
            <w:rPr/>
            <w:t>19</w:t>
          </w:r>
        </w:p>
        <w:p>
          <w:pPr>
            <w:pStyle w:val="Spistreci2"/>
            <w:tabs>
              <w:tab w:val="clear" w:pos="708"/>
              <w:tab w:val="left" w:pos="849" w:leader="none"/>
              <w:tab w:val="right" w:pos="8630" w:leader="dot"/>
            </w:tabs>
            <w:rPr/>
          </w:pPr>
          <w:hyperlink w:anchor="_Toc358293465">
            <w:r>
              <w:rPr>
                <w:rStyle w:val="Czeindeksu"/>
              </w:rPr>
              <w:t>2.6</w:t>
            </w:r>
            <w:r>
              <w:rPr>
                <w:rStyle w:val="Czeindeksu"/>
                <w:rFonts w:eastAsia="Times New Roman"/>
                <w:lang w:eastAsia="en-US" w:bidi="ar-SA"/>
              </w:rPr>
              <w:tab/>
            </w:r>
            <w:r>
              <w:rPr>
                <w:rStyle w:val="Czeindeksu"/>
              </w:rPr>
              <w:t>Oświetlenie i instalacje elektryczne</w:t>
              <w:tab/>
            </w:r>
          </w:hyperlink>
          <w:r>
            <w:rPr/>
            <w:t>20</w:t>
          </w:r>
        </w:p>
        <w:p>
          <w:pPr>
            <w:pStyle w:val="Normal"/>
            <w:rPr>
              <w:rFonts w:ascii="Arial" w:hAnsi="Arial" w:cs="Arial"/>
              <w:lang w:bidi="pl-PL"/>
            </w:rPr>
          </w:pPr>
          <w:r>
            <w:rPr>
              <w:rFonts w:cs="Arial" w:ascii="Arial" w:hAnsi="Arial"/>
              <w:lang w:bidi="pl-PL"/>
            </w:rPr>
            <w:t xml:space="preserve">    </w:t>
          </w:r>
          <w:r>
            <w:rPr>
              <w:rFonts w:cs="Arial" w:ascii="Arial" w:hAnsi="Arial"/>
              <w:lang w:bidi="pl-PL"/>
            </w:rPr>
            <w:t>2.7</w:t>
            <w:tab/>
            <w:t xml:space="preserve">  Projektowane warunki użytkowe i ochrony ppoż………….……………...21</w:t>
          </w:r>
        </w:p>
        <w:p>
          <w:pPr>
            <w:pStyle w:val="Normal"/>
            <w:rPr>
              <w:rFonts w:ascii="Arial" w:hAnsi="Arial" w:cs="Arial"/>
              <w:lang w:bidi="pl-PL"/>
            </w:rPr>
          </w:pPr>
          <w:r>
            <w:rPr>
              <w:rFonts w:cs="Arial" w:ascii="Arial" w:hAnsi="Arial"/>
              <w:lang w:bidi="pl-PL"/>
            </w:rPr>
            <w:t xml:space="preserve">    </w:t>
          </w:r>
          <w:r>
            <w:rPr>
              <w:rFonts w:cs="Arial" w:ascii="Arial" w:hAnsi="Arial"/>
              <w:lang w:bidi="pl-PL"/>
            </w:rPr>
            <w:t xml:space="preserve">2.8 </w:t>
            <w:tab/>
            <w:t xml:space="preserve">  Instalacja wentylacji i klimatyzacji oraz wod-kan. .……………………….26</w:t>
          </w:r>
        </w:p>
        <w:p>
          <w:pPr>
            <w:pStyle w:val="Normal"/>
            <w:rPr>
              <w:rFonts w:ascii="Arial" w:hAnsi="Arial" w:cs="Arial"/>
              <w:lang w:bidi="pl-PL"/>
            </w:rPr>
          </w:pPr>
          <w:r>
            <w:rPr>
              <w:rFonts w:cs="Arial" w:ascii="Arial" w:hAnsi="Arial"/>
              <w:lang w:bidi="pl-PL"/>
            </w:rPr>
            <w:t xml:space="preserve">    </w:t>
          </w:r>
          <w:r>
            <w:rPr>
              <w:rFonts w:cs="Arial" w:ascii="Arial" w:hAnsi="Arial"/>
              <w:lang w:bidi="pl-PL"/>
            </w:rPr>
            <w:t xml:space="preserve">2.9 </w:t>
            <w:tab/>
            <w:t xml:space="preserve">  Oddymianie ………………………………………….……………………….26</w:t>
            <w:br/>
            <w:t xml:space="preserve">    2.10 Dostępność dla osób niepełnosprawnych oraz zag. BHP ……………….27</w:t>
          </w:r>
        </w:p>
        <w:p>
          <w:pPr>
            <w:pStyle w:val="Normal"/>
            <w:rPr>
              <w:rFonts w:ascii="Arial" w:hAnsi="Arial" w:cs="Arial"/>
              <w:lang w:bidi="pl-PL"/>
            </w:rPr>
          </w:pPr>
          <w:r>
            <w:rPr>
              <w:rFonts w:cs="Arial" w:ascii="Arial" w:hAnsi="Arial"/>
              <w:lang w:bidi="pl-PL"/>
            </w:rPr>
            <w:br/>
          </w:r>
        </w:p>
        <w:p>
          <w:pPr>
            <w:pStyle w:val="Normal"/>
            <w:rPr>
              <w:rFonts w:ascii="Arial" w:hAnsi="Arial" w:cs="Arial"/>
              <w:lang w:bidi="pl-PL"/>
            </w:rPr>
          </w:pPr>
          <w:r>
            <w:rPr>
              <w:rFonts w:cs="Arial" w:ascii="Arial" w:hAnsi="Arial"/>
              <w:lang w:bidi="pl-PL"/>
            </w:rPr>
            <w:br/>
            <w:t>III. ZAŁĄCZNIKI</w:t>
            <w:br/>
            <w:t xml:space="preserve"> </w:t>
            <w:tab/>
            <w:t xml:space="preserve">- atesty, aprobaty techniczne, certyfikaty wraz z podaniem posiadanej </w:t>
            <w:br/>
            <w:t xml:space="preserve">             klasyfikacji ogniowej </w:t>
            <w:br/>
            <w:br/>
          </w:r>
          <w:r>
            <w:rPr>
              <w:rFonts w:cs="Arial" w:ascii="Arial" w:hAnsi="Arial"/>
              <w:lang w:bidi="pl-PL"/>
            </w:rPr>
            <w:fldChar w:fldCharType="end"/>
          </w:r>
        </w:p>
      </w:sdtContent>
    </w:sdt>
    <w:p>
      <w:pPr>
        <w:pStyle w:val="Normal"/>
        <w:rPr/>
      </w:pPr>
      <w:r>
        <w:rPr/>
      </w:r>
    </w:p>
    <w:p>
      <w:pPr>
        <w:sectPr>
          <w:headerReference w:type="default" r:id="rId7"/>
          <w:footerReference w:type="default" r:id="rId8"/>
          <w:type w:val="continuous"/>
          <w:pgSz w:w="12240" w:h="15840"/>
          <w:pgMar w:left="1800" w:right="1800" w:gutter="0" w:header="720" w:top="1440" w:footer="720" w:bottom="1440"/>
          <w:formProt w:val="false"/>
          <w:textDirection w:val="lrTb"/>
          <w:docGrid w:type="default" w:linePitch="312" w:charSpace="4294961151"/>
        </w:sectPr>
      </w:pPr>
    </w:p>
    <w:p>
      <w:pPr>
        <w:pStyle w:val="Normal"/>
        <w:rPr/>
      </w:pPr>
      <w:r>
        <w:rPr/>
      </w:r>
    </w:p>
    <w:p>
      <w:pPr>
        <w:sectPr>
          <w:type w:val="continuous"/>
          <w:pgSz w:w="12240" w:h="15840"/>
          <w:pgMar w:left="1800" w:right="1800" w:gutter="0" w:header="720" w:top="1440" w:footer="720" w:bottom="1440"/>
          <w:formProt w:val="false"/>
          <w:textDirection w:val="lrTb"/>
          <w:docGrid w:type="default" w:linePitch="312" w:charSpace="4294961151"/>
        </w:sectPr>
      </w:pPr>
    </w:p>
    <w:p>
      <w:pPr>
        <w:pStyle w:val="Normal"/>
        <w:rPr/>
      </w:pPr>
      <w:r>
        <w:rPr/>
      </w:r>
    </w:p>
    <w:p>
      <w:pPr>
        <w:sectPr>
          <w:type w:val="continuous"/>
          <w:pgSz w:w="12240" w:h="15840"/>
          <w:pgMar w:left="1800" w:right="1800" w:gutter="0" w:header="720" w:top="1440" w:footer="720" w:bottom="1440"/>
          <w:formProt w:val="false"/>
          <w:textDirection w:val="lrTb"/>
          <w:docGrid w:type="default" w:linePitch="312" w:charSpace="4294961151"/>
        </w:sectPr>
      </w:pPr>
    </w:p>
    <w:p>
      <w:pPr>
        <w:pStyle w:val="Normal"/>
        <w:rPr/>
      </w:pPr>
      <w:r>
        <w:rPr/>
      </w:r>
    </w:p>
    <w:p>
      <w:pPr>
        <w:sectPr>
          <w:type w:val="continuous"/>
          <w:pgSz w:w="12240" w:h="15840"/>
          <w:pgMar w:left="1800" w:right="1800" w:gutter="0" w:header="720" w:top="1440" w:footer="720" w:bottom="1440"/>
          <w:formProt w:val="false"/>
          <w:textDirection w:val="lrTb"/>
          <w:docGrid w:type="default" w:linePitch="312" w:charSpace="4294961151"/>
        </w:sectPr>
      </w:pPr>
    </w:p>
    <w:p>
      <w:pPr>
        <w:pStyle w:val="Normal"/>
        <w:rPr/>
      </w:pPr>
      <w:r>
        <w:rPr/>
      </w:r>
    </w:p>
    <w:p>
      <w:pPr>
        <w:sectPr>
          <w:type w:val="continuous"/>
          <w:pgSz w:w="12240" w:h="15840"/>
          <w:pgMar w:left="1800" w:right="1800" w:gutter="0" w:header="720" w:top="1440" w:footer="720" w:bottom="1440"/>
          <w:formProt w:val="false"/>
          <w:textDirection w:val="lrTb"/>
          <w:docGrid w:type="default" w:linePitch="312" w:charSpace="4294961151"/>
        </w:sectPr>
      </w:pPr>
    </w:p>
    <w:p>
      <w:pPr>
        <w:pStyle w:val="Normal"/>
        <w:rPr/>
      </w:pPr>
      <w:r>
        <w:rPr/>
      </w:r>
    </w:p>
    <w:p>
      <w:pPr>
        <w:sectPr>
          <w:type w:val="continuous"/>
          <w:pgSz w:w="12240" w:h="15840"/>
          <w:pgMar w:left="1800" w:right="1800" w:gutter="0" w:header="720" w:top="1440" w:footer="720" w:bottom="1440"/>
          <w:formProt w:val="false"/>
          <w:textDirection w:val="lrTb"/>
          <w:docGrid w:type="default" w:linePitch="312" w:charSpace="4294961151"/>
        </w:sectPr>
      </w:pPr>
    </w:p>
    <w:p>
      <w:pPr>
        <w:pStyle w:val="Normal"/>
        <w:rPr>
          <w:b/>
          <w:bCs/>
          <w:sz w:val="20"/>
          <w:szCs w:val="20"/>
        </w:rPr>
      </w:pPr>
      <w:r>
        <w:rPr>
          <w:b/>
          <w:bCs/>
          <w:sz w:val="20"/>
          <w:szCs w:val="20"/>
        </w:rPr>
      </w:r>
    </w:p>
    <w:p>
      <w:pPr>
        <w:sectPr>
          <w:type w:val="continuous"/>
          <w:pgSz w:w="12240" w:h="15840"/>
          <w:pgMar w:left="1800" w:right="1800" w:gutter="0" w:header="720" w:top="1440" w:footer="720" w:bottom="1440"/>
          <w:formProt w:val="false"/>
          <w:textDirection w:val="lrTb"/>
          <w:docGrid w:type="default" w:linePitch="312" w:charSpace="4294961151"/>
        </w:sectPr>
      </w:pPr>
    </w:p>
    <w:p>
      <w:pPr>
        <w:pStyle w:val="Normal"/>
        <w:rPr>
          <w:rFonts w:ascii="Arial" w:hAnsi="Arial" w:cs="Arial"/>
          <w:b/>
          <w:bCs/>
          <w:sz w:val="20"/>
          <w:szCs w:val="20"/>
        </w:rPr>
      </w:pPr>
      <w:r>
        <w:rPr>
          <w:rFonts w:cs="Arial" w:ascii="Arial" w:hAnsi="Arial"/>
          <w:b/>
          <w:bCs/>
          <w:sz w:val="20"/>
          <w:szCs w:val="20"/>
        </w:rPr>
      </w:r>
    </w:p>
    <w:p>
      <w:pPr>
        <w:pStyle w:val="Normal"/>
        <w:rPr>
          <w:rFonts w:ascii="Arial" w:hAnsi="Arial" w:cs="Arial"/>
          <w:b/>
          <w:bCs/>
          <w:sz w:val="22"/>
          <w:szCs w:val="20"/>
        </w:rPr>
      </w:pPr>
      <w:r>
        <w:rPr>
          <w:rFonts w:cs="Arial" w:ascii="Arial" w:hAnsi="Arial"/>
          <w:b/>
          <w:bCs/>
          <w:sz w:val="22"/>
          <w:szCs w:val="20"/>
        </w:rPr>
        <w:t>SPIS RYSUNKÓW:</w:t>
      </w:r>
    </w:p>
    <w:p>
      <w:pPr>
        <w:pStyle w:val="Normal"/>
        <w:rPr>
          <w:rFonts w:ascii="Arial" w:hAnsi="Arial" w:eastAsia="Times New Roman" w:cs="Arial"/>
          <w:b/>
          <w:sz w:val="20"/>
          <w:szCs w:val="18"/>
          <w:lang w:eastAsia="ar-SA"/>
        </w:rPr>
      </w:pPr>
      <w:r>
        <w:rPr>
          <w:rFonts w:eastAsia="Times New Roman" w:cs="Arial" w:ascii="Arial" w:hAnsi="Arial"/>
          <w:b/>
          <w:sz w:val="20"/>
          <w:szCs w:val="18"/>
          <w:lang w:eastAsia="ar-SA"/>
        </w:rPr>
      </w:r>
    </w:p>
    <w:tbl>
      <w:tblPr>
        <w:tblW w:w="9532" w:type="dxa"/>
        <w:jc w:val="left"/>
        <w:tblInd w:w="-120" w:type="dxa"/>
        <w:tblLayout w:type="fixed"/>
        <w:tblCellMar>
          <w:top w:w="0" w:type="dxa"/>
          <w:left w:w="70" w:type="dxa"/>
          <w:bottom w:w="0" w:type="dxa"/>
          <w:right w:w="70" w:type="dxa"/>
        </w:tblCellMar>
        <w:tblLook w:firstRow="0" w:noVBand="0" w:lastRow="0" w:firstColumn="0" w:lastColumn="0" w:noHBand="0" w:val="0000"/>
      </w:tblPr>
      <w:tblGrid>
        <w:gridCol w:w="1399"/>
        <w:gridCol w:w="6177"/>
        <w:gridCol w:w="1956"/>
      </w:tblGrid>
      <w:tr>
        <w:trPr>
          <w:trHeight w:val="695"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pPr>
            <w:r>
              <w:rPr>
                <w:rFonts w:eastAsia="Times New Roman" w:cs="Arial" w:ascii="Arial" w:hAnsi="Arial"/>
                <w:b/>
                <w:sz w:val="22"/>
                <w:szCs w:val="20"/>
                <w:lang w:eastAsia="ar-SA"/>
              </w:rPr>
              <w:t>nr rysunku</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ascii="Arial" w:hAnsi="Arial" w:eastAsia="Times New Roman" w:cs="Arial"/>
                <w:b/>
                <w:sz w:val="22"/>
                <w:szCs w:val="20"/>
                <w:lang w:eastAsia="ar-SA"/>
              </w:rPr>
            </w:pPr>
            <w:r>
              <w:rPr>
                <w:rFonts w:eastAsia="Times New Roman" w:cs="Arial" w:ascii="Arial" w:hAnsi="Arial"/>
                <w:b/>
                <w:sz w:val="22"/>
                <w:szCs w:val="20"/>
                <w:lang w:eastAsia="ar-SA"/>
              </w:rPr>
            </w:r>
          </w:p>
          <w:p>
            <w:pPr>
              <w:pStyle w:val="Normal"/>
              <w:widowControl w:val="false"/>
              <w:snapToGrid w:val="false"/>
              <w:jc w:val="center"/>
              <w:rPr/>
            </w:pPr>
            <w:r>
              <w:rPr>
                <w:rFonts w:eastAsia="Times New Roman" w:cs="Arial" w:ascii="Arial" w:hAnsi="Arial"/>
                <w:b/>
                <w:sz w:val="22"/>
                <w:szCs w:val="20"/>
                <w:lang w:eastAsia="ar-SA"/>
              </w:rPr>
              <w:t>temat</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both"/>
              <w:rPr>
                <w:rFonts w:ascii="Arial" w:hAnsi="Arial" w:eastAsia="Times New Roman" w:cs="Arial"/>
                <w:b/>
                <w:sz w:val="22"/>
                <w:szCs w:val="20"/>
                <w:lang w:eastAsia="ar-SA"/>
              </w:rPr>
            </w:pPr>
            <w:r>
              <w:rPr>
                <w:rFonts w:eastAsia="Times New Roman" w:cs="Arial" w:ascii="Arial" w:hAnsi="Arial"/>
                <w:b/>
                <w:sz w:val="22"/>
                <w:szCs w:val="20"/>
                <w:lang w:eastAsia="ar-SA"/>
              </w:rPr>
            </w:r>
          </w:p>
          <w:p>
            <w:pPr>
              <w:pStyle w:val="Normal"/>
              <w:widowControl w:val="false"/>
              <w:snapToGrid w:val="false"/>
              <w:jc w:val="both"/>
              <w:rPr/>
            </w:pPr>
            <w:r>
              <w:rPr>
                <w:rFonts w:eastAsia="Times New Roman" w:cs="Arial" w:ascii="Arial" w:hAnsi="Arial"/>
                <w:b/>
                <w:sz w:val="22"/>
                <w:szCs w:val="20"/>
                <w:lang w:eastAsia="ar-SA"/>
              </w:rPr>
              <w:t>Skala</w:t>
            </w:r>
          </w:p>
        </w:tc>
      </w:tr>
      <w:tr>
        <w:trPr>
          <w:trHeight w:val="493" w:hRule="atLeast"/>
        </w:trPr>
        <w:tc>
          <w:tcPr>
            <w:tcW w:w="953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pPr>
            <w:r>
              <w:rPr>
                <w:rFonts w:eastAsia="Times New Roman" w:cs="Arial" w:ascii="Arial" w:hAnsi="Arial"/>
                <w:b/>
                <w:bCs/>
                <w:sz w:val="22"/>
                <w:szCs w:val="22"/>
                <w:lang w:eastAsia="ar-SA"/>
              </w:rPr>
              <w:t>Projekt techniczny</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PW_01</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rPr>
              <w:t xml:space="preserve">Rzut podstawowy, elektryki i wod-kan </w:t>
              <w:br/>
              <w:t>/ General, electric, water&amp;sewage plan</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247" w:hRule="atLeast"/>
        </w:trPr>
        <w:tc>
          <w:tcPr>
            <w:tcW w:w="1399"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PW_02</w:t>
            </w:r>
          </w:p>
        </w:tc>
        <w:tc>
          <w:tcPr>
            <w:tcW w:w="6177"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lang w:val="en-US"/>
              </w:rPr>
              <w:t>Rzut aranżacji / Arrangement plan</w:t>
            </w:r>
          </w:p>
        </w:tc>
        <w:tc>
          <w:tcPr>
            <w:tcW w:w="1956"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252"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PW_03</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rPr>
              <w:t>Rzut sufitu / Ceiling plan</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PW_04</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rPr>
              <w:t>Rzut posadzki / Floor plan</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PW_05</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lang w:val="en-US"/>
              </w:rPr>
              <w:t>Witryna / Shopfront</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PW_06</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lang w:val="en-US"/>
              </w:rPr>
              <w:t>Kłady ścian sali sprzedaży/ Sales area wall views</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PW_07</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lang w:val="en-US"/>
              </w:rPr>
              <w:t>Kłady ścian przymierzalni / Fitting rooms a wall views</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1:50</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PW_08</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lang w:val="en-US"/>
              </w:rPr>
              <w:t>Przekrój / Section</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r>
        <w:trPr>
          <w:trHeight w:val="300" w:hRule="atLeast"/>
        </w:trPr>
        <w:tc>
          <w:tcPr>
            <w:tcW w:w="1399"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PW_09</w:t>
            </w:r>
          </w:p>
        </w:tc>
        <w:tc>
          <w:tcPr>
            <w:tcW w:w="6177"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rPr>
              <w:t>Detal logotypu / logotype detail</w:t>
            </w:r>
          </w:p>
        </w:tc>
        <w:tc>
          <w:tcPr>
            <w:tcW w:w="1956"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1:20</w:t>
            </w:r>
          </w:p>
        </w:tc>
      </w:tr>
      <w:tr>
        <w:trPr>
          <w:trHeight w:val="300" w:hRule="atLeast"/>
        </w:trPr>
        <w:tc>
          <w:tcPr>
            <w:tcW w:w="1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pPr>
            <w:r>
              <w:rPr>
                <w:rFonts w:eastAsia="Times New Roman" w:cs="Arial" w:ascii="Arial" w:hAnsi="Arial"/>
                <w:sz w:val="22"/>
                <w:szCs w:val="22"/>
                <w:lang w:eastAsia="ar-SA"/>
              </w:rPr>
              <w:t>PW_10</w:t>
            </w:r>
          </w:p>
        </w:tc>
        <w:tc>
          <w:tcPr>
            <w:tcW w:w="61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113" w:right="113" w:hanging="0"/>
              <w:rPr/>
            </w:pPr>
            <w:r>
              <w:rPr>
                <w:rFonts w:cs="Arial" w:ascii="Arial" w:hAnsi="Arial"/>
                <w:sz w:val="22"/>
                <w:szCs w:val="22"/>
              </w:rPr>
              <w:t>Zestawienie drzwi / door list</w:t>
            </w:r>
          </w:p>
        </w:tc>
        <w:tc>
          <w:tcPr>
            <w:tcW w:w="19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right"/>
              <w:rPr>
                <w:rFonts w:ascii="Arial" w:hAnsi="Arial" w:eastAsia="Times New Roman" w:cs="Arial"/>
                <w:sz w:val="22"/>
                <w:szCs w:val="22"/>
                <w:lang w:eastAsia="ar-SA"/>
              </w:rPr>
            </w:pPr>
            <w:r>
              <w:rPr>
                <w:rFonts w:eastAsia="Times New Roman" w:cs="Arial" w:ascii="Arial" w:hAnsi="Arial"/>
                <w:sz w:val="22"/>
                <w:szCs w:val="22"/>
                <w:lang w:eastAsia="ar-SA"/>
              </w:rPr>
              <w:t>1:100</w:t>
            </w:r>
          </w:p>
        </w:tc>
      </w:tr>
    </w:tbl>
    <w:p>
      <w:pPr>
        <w:pStyle w:val="Normal"/>
        <w:rPr>
          <w:rFonts w:ascii="Arial" w:hAnsi="Arial" w:cs="Arial"/>
          <w:b/>
          <w:bCs/>
          <w:sz w:val="22"/>
          <w:szCs w:val="22"/>
        </w:rPr>
      </w:pPr>
      <w:r>
        <w:br w:type="page"/>
      </w:r>
      <w:bookmarkStart w:id="0" w:name="_Toc358293454"/>
      <w:r>
        <w:rPr/>
        <w:t xml:space="preserve">I. </w:t>
      </w:r>
      <w:r>
        <w:rPr>
          <w:rFonts w:cs="Arial" w:ascii="Arial" w:hAnsi="Arial"/>
          <w:sz w:val="22"/>
          <w:szCs w:val="22"/>
        </w:rPr>
        <w:t>OPIS TECHNICZNY – CZĘŚĆ OGÓLNA</w:t>
      </w:r>
      <w:bookmarkEnd w:id="0"/>
    </w:p>
    <w:p>
      <w:pPr>
        <w:pStyle w:val="Normal"/>
        <w:rPr>
          <w:rFonts w:ascii="Arial" w:hAnsi="Arial" w:cs="Arial"/>
          <w:sz w:val="22"/>
          <w:szCs w:val="22"/>
        </w:rPr>
      </w:pPr>
      <w:r>
        <w:rPr>
          <w:rFonts w:cs="Arial" w:ascii="Arial" w:hAnsi="Arial"/>
          <w:sz w:val="22"/>
          <w:szCs w:val="22"/>
        </w:rPr>
      </w:r>
    </w:p>
    <w:p>
      <w:pPr>
        <w:pStyle w:val="Nagwek2"/>
        <w:numPr>
          <w:ilvl w:val="1"/>
          <w:numId w:val="1"/>
        </w:numPr>
        <w:rPr>
          <w:i w:val="false"/>
          <w:i w:val="false"/>
          <w:sz w:val="22"/>
          <w:szCs w:val="22"/>
        </w:rPr>
      </w:pPr>
      <w:bookmarkStart w:id="1" w:name="_Toc358293455"/>
      <w:r>
        <w:rPr>
          <w:i w:val="false"/>
          <w:sz w:val="22"/>
          <w:szCs w:val="22"/>
        </w:rPr>
        <w:t>TEMAT OPRACOWANIA</w:t>
      </w:r>
      <w:bookmarkEnd w:id="1"/>
    </w:p>
    <w:p>
      <w:pPr>
        <w:pStyle w:val="Normal"/>
        <w:jc w:val="both"/>
        <w:rPr>
          <w:rFonts w:ascii="Arial" w:hAnsi="Arial" w:cs="Arial"/>
          <w:sz w:val="22"/>
          <w:szCs w:val="22"/>
        </w:rPr>
      </w:pPr>
      <w:r>
        <w:rPr>
          <w:rFonts w:cs="Arial" w:ascii="Arial" w:hAnsi="Arial"/>
          <w:sz w:val="22"/>
          <w:szCs w:val="22"/>
        </w:rPr>
      </w:r>
    </w:p>
    <w:p>
      <w:pPr>
        <w:pStyle w:val="Normal"/>
        <w:tabs>
          <w:tab w:val="clear" w:pos="708"/>
          <w:tab w:val="left" w:pos="720" w:leader="none"/>
        </w:tabs>
        <w:jc w:val="both"/>
        <w:rPr>
          <w:rFonts w:ascii="Arial" w:hAnsi="Arial" w:cs="Arial"/>
          <w:sz w:val="22"/>
          <w:szCs w:val="22"/>
        </w:rPr>
      </w:pPr>
      <w:r>
        <w:rPr>
          <w:rFonts w:cs="Arial" w:ascii="Arial" w:hAnsi="Arial"/>
          <w:sz w:val="22"/>
          <w:szCs w:val="22"/>
        </w:rPr>
        <w:t xml:space="preserve"> </w:t>
      </w:r>
      <w:r>
        <w:rPr/>
        <w:tab/>
      </w:r>
      <w:r>
        <w:rPr>
          <w:rFonts w:cs="Arial" w:ascii="Arial" w:hAnsi="Arial"/>
          <w:sz w:val="22"/>
          <w:szCs w:val="22"/>
        </w:rPr>
        <w:t>Przedmiotem opracowania jest projekt aranżacji lokalu usługowego (handlowego) nr 0.11, w budynku handlowym zlokalizowanym w Bielsku-Białej (43-300) przy ul. Warszawskiej 180.</w:t>
      </w:r>
    </w:p>
    <w:p>
      <w:pPr>
        <w:pStyle w:val="Normal"/>
        <w:tabs>
          <w:tab w:val="clear" w:pos="708"/>
          <w:tab w:val="left" w:pos="720" w:leader="none"/>
        </w:tabs>
        <w:jc w:val="both"/>
        <w:rPr>
          <w:rFonts w:ascii="Arial" w:hAnsi="Arial" w:cs="Arial"/>
          <w:sz w:val="22"/>
          <w:szCs w:val="22"/>
        </w:rPr>
      </w:pPr>
      <w:r>
        <w:rPr>
          <w:rFonts w:cs="Arial" w:ascii="Arial" w:hAnsi="Arial"/>
          <w:sz w:val="22"/>
          <w:szCs w:val="22"/>
        </w:rPr>
        <w:t xml:space="preserve">Lokal znajduje się na poziomie parteru. Dla klientów jest dostępny z zewnątrz. </w:t>
      </w:r>
    </w:p>
    <w:p>
      <w:pPr>
        <w:pStyle w:val="Nagwek2"/>
        <w:numPr>
          <w:ilvl w:val="1"/>
          <w:numId w:val="1"/>
        </w:numPr>
        <w:rPr>
          <w:i w:val="false"/>
          <w:i w:val="false"/>
          <w:iCs w:val="false"/>
          <w:sz w:val="22"/>
          <w:szCs w:val="22"/>
        </w:rPr>
      </w:pPr>
      <w:bookmarkStart w:id="2" w:name="_Toc358293456"/>
      <w:r>
        <w:rPr>
          <w:i w:val="false"/>
          <w:iCs w:val="false"/>
          <w:sz w:val="22"/>
          <w:szCs w:val="22"/>
        </w:rPr>
        <w:t>CEL I ZAKRES OPRACOWANIA</w:t>
      </w:r>
      <w:bookmarkEnd w:id="2"/>
      <w:r>
        <w:rPr>
          <w:i w:val="false"/>
          <w:iCs w:val="false"/>
          <w:sz w:val="22"/>
          <w:szCs w:val="22"/>
        </w:rPr>
        <w:t xml:space="preserve"> </w:t>
      </w:r>
    </w:p>
    <w:p>
      <w:pPr>
        <w:pStyle w:val="Normal"/>
        <w:rPr>
          <w:rFonts w:ascii="Arial" w:hAnsi="Arial" w:cs="Arial"/>
          <w:sz w:val="22"/>
          <w:szCs w:val="22"/>
        </w:rPr>
      </w:pPr>
      <w:r>
        <w:rPr>
          <w:rFonts w:cs="Arial" w:ascii="Arial" w:hAnsi="Arial"/>
          <w:sz w:val="22"/>
          <w:szCs w:val="22"/>
        </w:rPr>
        <w:tab/>
      </w:r>
    </w:p>
    <w:p>
      <w:pPr>
        <w:pStyle w:val="Normal"/>
        <w:keepNext w:val="true"/>
        <w:tabs>
          <w:tab w:val="clear" w:pos="708"/>
          <w:tab w:val="left" w:pos="2160" w:leader="none"/>
        </w:tabs>
        <w:spacing w:before="240" w:after="60"/>
        <w:rPr>
          <w:rFonts w:ascii="Arial" w:hAnsi="Arial" w:cs="Arial"/>
          <w:b/>
          <w:bCs/>
          <w:sz w:val="22"/>
          <w:szCs w:val="22"/>
        </w:rPr>
      </w:pPr>
      <w:r>
        <w:rPr>
          <w:rFonts w:cs="Arial" w:ascii="Arial" w:hAnsi="Arial"/>
          <w:b/>
          <w:bCs/>
          <w:sz w:val="22"/>
          <w:szCs w:val="22"/>
        </w:rPr>
        <w:t>CELE OPRACOWANIA</w:t>
      </w:r>
    </w:p>
    <w:p>
      <w:pPr>
        <w:pStyle w:val="Lista"/>
        <w:spacing w:lineRule="auto" w:line="276"/>
        <w:jc w:val="both"/>
        <w:rPr/>
      </w:pPr>
      <w:r>
        <w:rPr>
          <w:rFonts w:cs="Arial"/>
          <w:sz w:val="22"/>
          <w:szCs w:val="22"/>
        </w:rPr>
        <w:t xml:space="preserve">         </w:t>
      </w:r>
      <w:r>
        <w:rPr/>
        <w:tab/>
      </w:r>
      <w:r>
        <w:rPr>
          <w:rFonts w:cs="Arial"/>
          <w:sz w:val="22"/>
          <w:szCs w:val="22"/>
        </w:rPr>
        <w:t xml:space="preserve">Celem opracowania jest wykonanie projektu wykonawczego wielobranżowego, lokalu handlowego w zakresie dostosowania i zmiany aranżacji wnętrza. Opracowanie służy jako dokumentacja techniczna na podstawie której będą prowadzone roboty budowlane; oraz jako opracowanie będące podstawą zatwierdzenia zamierzonych zmian przez kierownictwo centrum handlowego - Wynajmującego. Niniejsza część architektoniczna opracowania stanowi fragment wielobranżowej dokumentacji w której skład wchodzi również: projekt instalacji elektrycznych i niskoprądowych; instalacji sanitarnych (wentylacji i klimatyzacji, wod-kan), instalacji tryskaczowej,  instalacji hydrantowej i SSP. </w:t>
      </w:r>
    </w:p>
    <w:p>
      <w:pPr>
        <w:pStyle w:val="Lista"/>
        <w:spacing w:lineRule="auto" w:line="276"/>
        <w:jc w:val="both"/>
        <w:rPr/>
      </w:pPr>
      <w:r>
        <w:rPr>
          <w:rFonts w:eastAsia="Arial Unicode MS" w:cs="Arial"/>
          <w:b/>
          <w:bCs/>
          <w:sz w:val="22"/>
          <w:szCs w:val="22"/>
          <w:lang w:bidi="ar-SA"/>
        </w:rPr>
        <w:t>Przeznaczenie projektowanego obiektu i powierzchni:</w:t>
      </w:r>
    </w:p>
    <w:p>
      <w:pPr>
        <w:pStyle w:val="Lista"/>
        <w:spacing w:lineRule="auto" w:line="276"/>
        <w:jc w:val="both"/>
        <w:rPr/>
      </w:pPr>
      <w:r>
        <w:rPr>
          <w:rFonts w:cs="Arial"/>
          <w:sz w:val="22"/>
          <w:szCs w:val="22"/>
        </w:rPr>
        <w:t>Lokal będzie funkcjonował jako usługowy. Wszystkie pomieszczenia zostały zaprojektowane z myślą o funkcji usługowej.</w:t>
      </w:r>
      <w:r>
        <w:rPr/>
        <w:t xml:space="preserve"> </w:t>
      </w:r>
      <w:r>
        <w:rPr/>
        <w:t xml:space="preserve">Lokal </w:t>
      </w:r>
      <w:r>
        <w:rPr>
          <w:sz w:val="22"/>
          <w:szCs w:val="22"/>
        </w:rPr>
        <w:t>zajmuje się sprzedażą odzieży, obuwia oraz akcesoriów.</w:t>
      </w:r>
      <w:r>
        <w:rPr/>
        <w:t xml:space="preserve"> </w:t>
      </w:r>
    </w:p>
    <w:p>
      <w:pPr>
        <w:pStyle w:val="Normal"/>
        <w:keepNext w:val="true"/>
        <w:tabs>
          <w:tab w:val="clear" w:pos="708"/>
          <w:tab w:val="left" w:pos="2160" w:leader="none"/>
        </w:tabs>
        <w:spacing w:lineRule="auto" w:line="276" w:before="240" w:after="60"/>
        <w:rPr>
          <w:rFonts w:ascii="Arial" w:hAnsi="Arial" w:cs="Arial"/>
          <w:b/>
          <w:bCs/>
          <w:sz w:val="22"/>
          <w:szCs w:val="22"/>
        </w:rPr>
      </w:pPr>
      <w:r>
        <w:rPr>
          <w:rFonts w:cs="Arial" w:ascii="Arial" w:hAnsi="Arial"/>
          <w:b/>
          <w:bCs/>
          <w:sz w:val="22"/>
          <w:szCs w:val="22"/>
        </w:rPr>
        <w:t>ZAKRES OPRACOWANIA – OŚWIADCZENIE DOTYCZĄCE WYMOGÓW FORMALNYCH URZĘDOWYCH (POZWOLENIE / ZGŁOSZENIE)</w:t>
      </w:r>
    </w:p>
    <w:p>
      <w:pPr>
        <w:pStyle w:val="Normal"/>
        <w:spacing w:lineRule="auto" w:line="276"/>
        <w:jc w:val="both"/>
        <w:rPr>
          <w:rFonts w:ascii="Arial" w:hAnsi="Arial" w:cs="Arial"/>
          <w:sz w:val="22"/>
          <w:szCs w:val="22"/>
        </w:rPr>
      </w:pPr>
      <w:r>
        <w:rPr>
          <w:rFonts w:cs="Arial" w:ascii="Arial" w:hAnsi="Arial"/>
          <w:sz w:val="22"/>
          <w:szCs w:val="22"/>
        </w:rPr>
        <w:t xml:space="preserve">      </w:t>
      </w:r>
      <w:r>
        <w:rPr/>
        <w:tab/>
      </w:r>
      <w:r>
        <w:rPr>
          <w:rFonts w:cs="Arial" w:ascii="Arial" w:hAnsi="Arial"/>
          <w:sz w:val="22"/>
          <w:szCs w:val="22"/>
        </w:rPr>
        <w:t xml:space="preserve">W zakres opracowania wchodzi wyłącznie wydzielona powierzchnia lokalu usługowego (handlowego) 0.11. Elewacja budynku oraz konstrukcja nie ulegają zmianie, jak również inne charakterystyczne parametry obiektu jak kubatura, powierzchnia zabudowy, wysokość, długość, szerokość, liczba kondygnacji itd. W związku z powyższym oraz wg prawa budowlanego, planowane prace budowlane nie wymagają uzyskania pozwolenia na budowę ani zgłaszania prowadzenia robót. </w:t>
      </w:r>
      <w:r>
        <w:rPr/>
        <w:tab/>
      </w:r>
      <w:r>
        <w:rPr>
          <w:rFonts w:cs="Arial" w:ascii="Arial" w:hAnsi="Arial"/>
          <w:sz w:val="22"/>
          <w:szCs w:val="22"/>
        </w:rPr>
        <w:t>Ponadto w myśl obowiązujących przepisów, obszar oddziaływania obiektu (O.O.O.), a w tym wypadku odrębnego lokalu zlokalizowanego w przedmiotowym obiekcie budowlanym, pozostaje ograniczony wyłącznie w wyznaczonych granicach lokalu 0.11, które stanowią ściany wydzielające go na pełną wysokość kondygnacji.</w:t>
      </w:r>
      <w:r>
        <w:br w:type="page"/>
      </w:r>
    </w:p>
    <w:p>
      <w:pPr>
        <w:pStyle w:val="Nagwek2"/>
        <w:numPr>
          <w:ilvl w:val="1"/>
          <w:numId w:val="1"/>
        </w:numPr>
        <w:rPr>
          <w:i w:val="false"/>
          <w:i w:val="false"/>
          <w:iCs w:val="false"/>
          <w:sz w:val="22"/>
          <w:szCs w:val="22"/>
        </w:rPr>
      </w:pPr>
      <w:bookmarkStart w:id="3" w:name="_Toc358293457"/>
      <w:r>
        <w:rPr>
          <w:i w:val="false"/>
          <w:iCs w:val="false"/>
          <w:sz w:val="22"/>
          <w:szCs w:val="22"/>
        </w:rPr>
        <w:t>DANE OGÓLNE DOTYCZĄCE CZĘŚCI OBJĘTEJ ZAKRESEM OPRACOWANIA:</w:t>
      </w:r>
      <w:bookmarkEnd w:id="3"/>
    </w:p>
    <w:p>
      <w:pPr>
        <w:pStyle w:val="Normal"/>
        <w:ind w:left="3540" w:hanging="3540"/>
        <w:jc w:val="both"/>
        <w:rPr>
          <w:rFonts w:ascii="Arial" w:hAnsi="Arial" w:cs="Arial"/>
          <w:b/>
          <w:sz w:val="22"/>
          <w:szCs w:val="22"/>
        </w:rPr>
      </w:pPr>
      <w:r>
        <w:rPr>
          <w:rFonts w:cs="Arial" w:ascii="Arial" w:hAnsi="Arial"/>
          <w:b/>
          <w:sz w:val="22"/>
          <w:szCs w:val="22"/>
        </w:rPr>
        <w:t>- przeznaczenie obiektu:</w:t>
        <w:tab/>
        <w:t xml:space="preserve">lokal handlowy </w:t>
      </w:r>
    </w:p>
    <w:p>
      <w:pPr>
        <w:pStyle w:val="Normal"/>
        <w:ind w:left="3540" w:hanging="3540"/>
        <w:jc w:val="both"/>
        <w:rPr>
          <w:rFonts w:ascii="Arial" w:hAnsi="Arial" w:cs="Arial"/>
          <w:b/>
          <w:sz w:val="22"/>
          <w:szCs w:val="22"/>
        </w:rPr>
      </w:pPr>
      <w:r>
        <w:rPr>
          <w:rFonts w:cs="Arial" w:ascii="Arial" w:hAnsi="Arial"/>
          <w:b/>
          <w:sz w:val="22"/>
          <w:szCs w:val="22"/>
        </w:rPr>
        <w:t xml:space="preserve">- przeznaczenie powierzchni: </w:t>
        <w:tab/>
        <w:t xml:space="preserve">usługowo-handlowe </w:t>
      </w:r>
    </w:p>
    <w:p>
      <w:pPr>
        <w:pStyle w:val="Normal"/>
        <w:ind w:left="3540" w:hanging="3540"/>
        <w:jc w:val="both"/>
        <w:rPr>
          <w:rFonts w:ascii="Arial" w:hAnsi="Arial" w:cs="Arial"/>
          <w:b/>
          <w:sz w:val="22"/>
          <w:szCs w:val="22"/>
        </w:rPr>
      </w:pPr>
      <w:r>
        <w:rPr/>
      </w:r>
    </w:p>
    <w:p>
      <w:pPr>
        <w:pStyle w:val="Normal"/>
        <w:ind w:left="3540" w:hanging="3540"/>
        <w:jc w:val="both"/>
        <w:rPr/>
      </w:pPr>
      <w:r>
        <w:rPr>
          <w:rFonts w:cs="Arial" w:ascii="Arial" w:hAnsi="Arial"/>
          <w:b/>
          <w:bCs/>
          <w:sz w:val="22"/>
          <w:szCs w:val="22"/>
        </w:rPr>
        <w:t>- lokalizacja:</w:t>
      </w:r>
      <w:r>
        <w:rPr>
          <w:rFonts w:cs="Arial" w:ascii="Arial" w:hAnsi="Arial"/>
          <w:sz w:val="22"/>
          <w:szCs w:val="22"/>
        </w:rPr>
        <w:tab/>
      </w:r>
      <w:r>
        <w:rPr>
          <w:rFonts w:cs="Arial" w:ascii="Arial" w:hAnsi="Arial"/>
          <w:b/>
          <w:sz w:val="22"/>
          <w:szCs w:val="22"/>
        </w:rPr>
        <w:t xml:space="preserve">Budynek handlowy zlokalizowany </w:t>
        <w:br/>
        <w:t xml:space="preserve">w Bielsku-Białej (43-300) przy </w:t>
        <w:br/>
        <w:t>ul. Warszawskiej 180,  lokal 0.11</w:t>
      </w:r>
    </w:p>
    <w:p>
      <w:pPr>
        <w:pStyle w:val="Normal"/>
        <w:ind w:left="3540" w:hanging="3540"/>
        <w:jc w:val="both"/>
        <w:rPr>
          <w:rFonts w:ascii="Arial" w:hAnsi="Arial" w:cs="Arial"/>
          <w:b/>
          <w:sz w:val="22"/>
          <w:szCs w:val="22"/>
        </w:rPr>
      </w:pPr>
      <w:r>
        <w:rPr>
          <w:rFonts w:cs="Arial" w:ascii="Arial" w:hAnsi="Arial"/>
          <w:b/>
          <w:sz w:val="22"/>
          <w:szCs w:val="22"/>
        </w:rPr>
      </w:r>
    </w:p>
    <w:p>
      <w:pPr>
        <w:pStyle w:val="Normal"/>
        <w:tabs>
          <w:tab w:val="clear" w:pos="708"/>
          <w:tab w:val="left" w:pos="720" w:leader="none"/>
        </w:tabs>
        <w:ind w:left="142" w:hanging="0"/>
        <w:jc w:val="both"/>
        <w:rPr>
          <w:rFonts w:ascii="Arial" w:hAnsi="Arial" w:cs="Arial"/>
          <w:i/>
          <w:i/>
          <w:sz w:val="22"/>
          <w:szCs w:val="22"/>
        </w:rPr>
      </w:pPr>
      <w:r>
        <w:rPr>
          <w:rFonts w:cs="Arial" w:ascii="Arial" w:hAnsi="Arial"/>
          <w:b/>
          <w:sz w:val="22"/>
          <w:szCs w:val="22"/>
        </w:rPr>
        <w:t>Kategoria budowlana obiektu (lokalu):</w:t>
      </w:r>
      <w:r>
        <w:rPr/>
        <w:t xml:space="preserve">  </w:t>
      </w:r>
      <w:r>
        <w:rPr>
          <w:rFonts w:cs="Arial" w:ascii="Arial" w:hAnsi="Arial"/>
          <w:sz w:val="22"/>
          <w:szCs w:val="22"/>
        </w:rPr>
        <w:t xml:space="preserve">XVII </w:t>
      </w:r>
      <w:r>
        <w:rPr>
          <w:rFonts w:cs="Arial" w:ascii="Arial" w:hAnsi="Arial"/>
          <w:i/>
          <w:sz w:val="22"/>
          <w:szCs w:val="22"/>
        </w:rPr>
        <w:t>(budynki handlu, gastronomii i usług, jak: sklepy, centra handlowe, domy towarowe, hale targowe, restauracje, bary, kasyna, dyskoteki, warsztaty rzemieślnicze, stacje obsługi pojazdów, myjnie samochodowe, garaże powyżej dwóch stanowisk, budynki dworcowe).</w:t>
      </w:r>
      <w:r>
        <w:rPr>
          <w:rFonts w:cs="Arial" w:ascii="Arial" w:hAnsi="Arial"/>
          <w:sz w:val="22"/>
          <w:szCs w:val="22"/>
        </w:rPr>
        <w:t xml:space="preserve">                                     </w:t>
      </w:r>
    </w:p>
    <w:tbl>
      <w:tblPr>
        <w:tblW w:w="8547" w:type="dxa"/>
        <w:jc w:val="left"/>
        <w:tblInd w:w="170" w:type="dxa"/>
        <w:tblLayout w:type="fixed"/>
        <w:tblCellMar>
          <w:top w:w="0" w:type="dxa"/>
          <w:left w:w="70" w:type="dxa"/>
          <w:bottom w:w="0" w:type="dxa"/>
          <w:right w:w="70" w:type="dxa"/>
        </w:tblCellMar>
        <w:tblLook w:firstRow="0" w:noVBand="0" w:lastRow="0" w:firstColumn="0" w:lastColumn="0" w:noHBand="0" w:val="0000"/>
      </w:tblPr>
      <w:tblGrid>
        <w:gridCol w:w="7052"/>
        <w:gridCol w:w="1494"/>
      </w:tblGrid>
      <w:tr>
        <w:trPr>
          <w:trHeight w:val="454" w:hRule="atLeast"/>
        </w:trPr>
        <w:tc>
          <w:tcPr>
            <w:tcW w:w="8546" w:type="dxa"/>
            <w:gridSpan w:val="2"/>
            <w:tcBorders/>
            <w:vAlign w:val="center"/>
          </w:tcPr>
          <w:p>
            <w:pPr>
              <w:pStyle w:val="Normal"/>
              <w:widowControl w:val="false"/>
              <w:snapToGrid w:val="false"/>
              <w:rPr/>
            </w:pPr>
            <w:r>
              <w:rPr>
                <w:rFonts w:cs="Arial" w:ascii="Arial" w:hAnsi="Arial"/>
                <w:b/>
                <w:bCs/>
                <w:sz w:val="22"/>
                <w:szCs w:val="22"/>
              </w:rPr>
              <w:t>Dane powierzchniowe dotyczące opracowywanego obszaru</w:t>
            </w:r>
          </w:p>
        </w:tc>
      </w:tr>
      <w:tr>
        <w:trPr>
          <w:trHeight w:val="340" w:hRule="atLeast"/>
        </w:trPr>
        <w:tc>
          <w:tcPr>
            <w:tcW w:w="7052" w:type="dxa"/>
            <w:tcBorders/>
          </w:tcPr>
          <w:p>
            <w:pPr>
              <w:pStyle w:val="Standard"/>
              <w:widowControl w:val="false"/>
              <w:snapToGrid w:val="false"/>
              <w:rPr/>
            </w:pPr>
            <w:r>
              <w:rPr>
                <w:sz w:val="22"/>
                <w:szCs w:val="22"/>
              </w:rPr>
              <w:t>Powierzchnia użytkowa (objęta opracowaniem)</w:t>
            </w:r>
          </w:p>
        </w:tc>
        <w:tc>
          <w:tcPr>
            <w:tcW w:w="1494" w:type="dxa"/>
            <w:tcBorders/>
          </w:tcPr>
          <w:p>
            <w:pPr>
              <w:pStyle w:val="Standard"/>
              <w:widowControl w:val="false"/>
              <w:jc w:val="right"/>
              <w:rPr/>
            </w:pPr>
            <w:r>
              <w:rPr>
                <w:rFonts w:ascii="Gulim" w:hAnsi="Gulim"/>
                <w:b/>
                <w:color w:val="000000"/>
                <w:szCs w:val="22"/>
              </w:rPr>
              <w:t xml:space="preserve"> </w:t>
            </w:r>
            <w:r>
              <w:rPr>
                <w:rFonts w:ascii="Gulim" w:hAnsi="Gulim"/>
                <w:b/>
                <w:color w:val="000000"/>
                <w:szCs w:val="22"/>
              </w:rPr>
              <w:t xml:space="preserve">714,72 </w:t>
            </w:r>
            <w:r>
              <w:rPr>
                <w:sz w:val="22"/>
                <w:szCs w:val="22"/>
              </w:rPr>
              <w:t>m</w:t>
            </w:r>
            <w:r>
              <w:rPr>
                <w:position w:val="8"/>
                <w:sz w:val="22"/>
                <w:szCs w:val="22"/>
              </w:rPr>
              <w:t>2</w:t>
            </w:r>
          </w:p>
        </w:tc>
      </w:tr>
      <w:tr>
        <w:trPr>
          <w:trHeight w:val="340" w:hRule="atLeast"/>
        </w:trPr>
        <w:tc>
          <w:tcPr>
            <w:tcW w:w="7052" w:type="dxa"/>
            <w:tcBorders/>
          </w:tcPr>
          <w:p>
            <w:pPr>
              <w:pStyle w:val="Standard"/>
              <w:widowControl w:val="false"/>
              <w:snapToGrid w:val="false"/>
              <w:rPr/>
            </w:pPr>
            <w:r>
              <w:rPr>
                <w:sz w:val="22"/>
                <w:szCs w:val="22"/>
              </w:rPr>
              <w:t>Powierzchnia całkowita</w:t>
            </w:r>
          </w:p>
        </w:tc>
        <w:tc>
          <w:tcPr>
            <w:tcW w:w="1494" w:type="dxa"/>
            <w:tcBorders/>
          </w:tcPr>
          <w:p>
            <w:pPr>
              <w:pStyle w:val="Standard"/>
              <w:widowControl w:val="false"/>
              <w:jc w:val="right"/>
              <w:rPr/>
            </w:pPr>
            <w:r>
              <w:rPr>
                <w:rFonts w:ascii="Gulim" w:hAnsi="Gulim"/>
                <w:b/>
                <w:color w:val="000000"/>
                <w:szCs w:val="22"/>
              </w:rPr>
              <w:t>733,5</w:t>
            </w:r>
            <w:r>
              <w:rPr>
                <w:sz w:val="22"/>
                <w:szCs w:val="22"/>
              </w:rPr>
              <w:t>m</w:t>
            </w:r>
            <w:r>
              <w:rPr>
                <w:position w:val="8"/>
                <w:sz w:val="22"/>
                <w:szCs w:val="22"/>
              </w:rPr>
              <w:t>2</w:t>
            </w:r>
          </w:p>
        </w:tc>
      </w:tr>
    </w:tbl>
    <w:p>
      <w:pPr>
        <w:pStyle w:val="Normal"/>
        <w:rPr/>
      </w:pPr>
      <w:r>
        <w:rPr>
          <w:rFonts w:cs="Arial" w:ascii="Arial" w:hAnsi="Arial"/>
          <w:b/>
          <w:bCs/>
          <w:sz w:val="22"/>
          <w:szCs w:val="22"/>
        </w:rPr>
        <w:br/>
        <w:t xml:space="preserve"> Zestawienie powierzchni użytkowych w obrębie opracowania</w:t>
      </w:r>
    </w:p>
    <w:p>
      <w:pPr>
        <w:pStyle w:val="Normal"/>
        <w:keepNext w:val="true"/>
        <w:tabs>
          <w:tab w:val="clear" w:pos="708"/>
          <w:tab w:val="left" w:pos="2160" w:leader="none"/>
        </w:tabs>
        <w:spacing w:before="240" w:after="60"/>
        <w:rPr/>
      </w:pPr>
      <w:r>
        <w:rPr>
          <w:rFonts w:cs="Arial" w:ascii="Arial" w:hAnsi="Arial"/>
          <w:b/>
          <w:bCs/>
          <w:sz w:val="22"/>
          <w:szCs w:val="22"/>
        </w:rPr>
        <w:t>Poziom 0</w:t>
      </w:r>
    </w:p>
    <w:tbl>
      <w:tblPr>
        <w:tblW w:w="8610" w:type="dxa"/>
        <w:jc w:val="left"/>
        <w:tblInd w:w="140" w:type="dxa"/>
        <w:tblLayout w:type="fixed"/>
        <w:tblCellMar>
          <w:top w:w="0" w:type="dxa"/>
          <w:left w:w="70" w:type="dxa"/>
          <w:bottom w:w="0" w:type="dxa"/>
          <w:right w:w="70" w:type="dxa"/>
        </w:tblCellMar>
        <w:tblLook w:firstRow="0" w:noVBand="0" w:lastRow="0" w:firstColumn="0" w:lastColumn="0" w:noHBand="0" w:val="0000"/>
      </w:tblPr>
      <w:tblGrid>
        <w:gridCol w:w="922"/>
        <w:gridCol w:w="2552"/>
        <w:gridCol w:w="3724"/>
        <w:gridCol w:w="1411"/>
      </w:tblGrid>
      <w:tr>
        <w:trPr>
          <w:trHeight w:val="147" w:hRule="atLeast"/>
        </w:trPr>
        <w:tc>
          <w:tcPr>
            <w:tcW w:w="922" w:type="dxa"/>
            <w:tcBorders>
              <w:top w:val="single" w:sz="2" w:space="0" w:color="000000"/>
              <w:left w:val="single" w:sz="2" w:space="0" w:color="000000"/>
              <w:bottom w:val="single" w:sz="2" w:space="0" w:color="000000"/>
            </w:tcBorders>
            <w:shd w:color="auto" w:fill="C0C0C0" w:val="clear"/>
          </w:tcPr>
          <w:p>
            <w:pPr>
              <w:pStyle w:val="Standard"/>
              <w:widowControl w:val="false"/>
              <w:snapToGrid w:val="false"/>
              <w:rPr>
                <w:b/>
                <w:bCs/>
                <w:sz w:val="22"/>
                <w:szCs w:val="22"/>
              </w:rPr>
            </w:pPr>
            <w:r>
              <w:rPr>
                <w:b/>
                <w:bCs/>
                <w:sz w:val="22"/>
                <w:szCs w:val="22"/>
              </w:rPr>
            </w:r>
          </w:p>
        </w:tc>
        <w:tc>
          <w:tcPr>
            <w:tcW w:w="2552" w:type="dxa"/>
            <w:tcBorders>
              <w:top w:val="single" w:sz="2" w:space="0" w:color="000000"/>
              <w:left w:val="single" w:sz="2" w:space="0" w:color="000000"/>
              <w:bottom w:val="single" w:sz="2" w:space="0" w:color="000000"/>
            </w:tcBorders>
            <w:shd w:color="auto" w:fill="C0C0C0" w:val="clear"/>
          </w:tcPr>
          <w:p>
            <w:pPr>
              <w:pStyle w:val="Standard"/>
              <w:widowControl w:val="false"/>
              <w:snapToGrid w:val="false"/>
              <w:rPr/>
            </w:pPr>
            <w:r>
              <w:rPr>
                <w:b/>
                <w:bCs/>
                <w:sz w:val="22"/>
                <w:szCs w:val="22"/>
              </w:rPr>
              <w:t>nazwa powierzchni</w:t>
            </w:r>
          </w:p>
        </w:tc>
        <w:tc>
          <w:tcPr>
            <w:tcW w:w="3724" w:type="dxa"/>
            <w:tcBorders>
              <w:top w:val="single" w:sz="2" w:space="0" w:color="000000"/>
              <w:left w:val="single" w:sz="2" w:space="0" w:color="000000"/>
              <w:bottom w:val="single" w:sz="2" w:space="0" w:color="000000"/>
            </w:tcBorders>
            <w:shd w:color="auto" w:fill="C0C0C0" w:val="clear"/>
          </w:tcPr>
          <w:p>
            <w:pPr>
              <w:pStyle w:val="Standard"/>
              <w:widowControl w:val="false"/>
              <w:snapToGrid w:val="false"/>
              <w:rPr/>
            </w:pPr>
            <w:r>
              <w:rPr>
                <w:b/>
                <w:bCs/>
                <w:sz w:val="22"/>
                <w:szCs w:val="22"/>
              </w:rPr>
              <w:t>rodzaj posadzki</w:t>
            </w:r>
          </w:p>
          <w:p>
            <w:pPr>
              <w:pStyle w:val="Standard"/>
              <w:widowControl w:val="false"/>
              <w:rPr/>
            </w:pPr>
            <w:r>
              <w:rPr>
                <w:b/>
                <w:bCs/>
                <w:sz w:val="22"/>
                <w:szCs w:val="22"/>
              </w:rPr>
              <w:t>rodzaj sufitu</w:t>
            </w:r>
          </w:p>
        </w:tc>
        <w:tc>
          <w:tcPr>
            <w:tcW w:w="1411" w:type="dxa"/>
            <w:tcBorders>
              <w:top w:val="single" w:sz="2" w:space="0" w:color="000000"/>
              <w:left w:val="single" w:sz="2" w:space="0" w:color="000000"/>
              <w:bottom w:val="single" w:sz="2" w:space="0" w:color="000000"/>
              <w:right w:val="single" w:sz="2" w:space="0" w:color="000000"/>
            </w:tcBorders>
            <w:shd w:color="auto" w:fill="C0C0C0" w:val="clear"/>
          </w:tcPr>
          <w:p>
            <w:pPr>
              <w:pStyle w:val="Standard"/>
              <w:widowControl w:val="false"/>
              <w:snapToGrid w:val="false"/>
              <w:jc w:val="right"/>
              <w:rPr/>
            </w:pPr>
            <w:r>
              <w:rPr>
                <w:b/>
                <w:bCs/>
                <w:sz w:val="22"/>
                <w:szCs w:val="22"/>
              </w:rPr>
              <w:t>p. u.</w:t>
            </w:r>
          </w:p>
          <w:p>
            <w:pPr>
              <w:pStyle w:val="Standard"/>
              <w:widowControl w:val="false"/>
              <w:jc w:val="right"/>
              <w:rPr/>
            </w:pPr>
            <w:r>
              <w:rPr>
                <w:b/>
                <w:bCs/>
                <w:sz w:val="22"/>
                <w:szCs w:val="22"/>
              </w:rPr>
              <w:t>[m</w:t>
            </w:r>
            <w:r>
              <w:rPr>
                <w:b/>
                <w:bCs/>
                <w:position w:val="8"/>
                <w:sz w:val="22"/>
                <w:szCs w:val="22"/>
              </w:rPr>
              <w:t>2</w:t>
            </w:r>
            <w:r>
              <w:rPr>
                <w:b/>
                <w:bCs/>
                <w:sz w:val="22"/>
                <w:szCs w:val="22"/>
              </w:rPr>
              <w:t>]</w:t>
            </w:r>
          </w:p>
        </w:tc>
      </w:tr>
      <w:tr>
        <w:trPr>
          <w:trHeight w:val="147" w:hRule="atLeast"/>
        </w:trPr>
        <w:tc>
          <w:tcPr>
            <w:tcW w:w="922" w:type="dxa"/>
            <w:vMerge w:val="restart"/>
            <w:tcBorders>
              <w:left w:val="single" w:sz="2" w:space="0" w:color="000000"/>
              <w:bottom w:val="single" w:sz="4" w:space="0" w:color="000000"/>
            </w:tcBorders>
          </w:tcPr>
          <w:p>
            <w:pPr>
              <w:pStyle w:val="Standard"/>
              <w:widowControl w:val="false"/>
              <w:snapToGrid w:val="false"/>
              <w:rPr/>
            </w:pPr>
            <w:r>
              <w:rPr>
                <w:sz w:val="22"/>
                <w:szCs w:val="22"/>
              </w:rPr>
              <w:t>1</w:t>
            </w:r>
          </w:p>
        </w:tc>
        <w:tc>
          <w:tcPr>
            <w:tcW w:w="2552" w:type="dxa"/>
            <w:vMerge w:val="restart"/>
            <w:tcBorders>
              <w:left w:val="single" w:sz="2" w:space="0" w:color="000000"/>
              <w:bottom w:val="single" w:sz="4" w:space="0" w:color="000000"/>
            </w:tcBorders>
          </w:tcPr>
          <w:p>
            <w:pPr>
              <w:pStyle w:val="Standard"/>
              <w:widowControl w:val="false"/>
              <w:snapToGrid w:val="false"/>
              <w:rPr/>
            </w:pPr>
            <w:r>
              <w:rPr>
                <w:b/>
                <w:bCs/>
                <w:sz w:val="22"/>
                <w:szCs w:val="22"/>
              </w:rPr>
              <w:t>SALA SPRZEDAŻY</w:t>
            </w:r>
          </w:p>
        </w:tc>
        <w:tc>
          <w:tcPr>
            <w:tcW w:w="3724" w:type="dxa"/>
            <w:tcBorders>
              <w:left w:val="single" w:sz="2" w:space="0" w:color="000000"/>
              <w:bottom w:val="single" w:sz="2" w:space="0" w:color="000000"/>
            </w:tcBorders>
          </w:tcPr>
          <w:p>
            <w:pPr>
              <w:pStyle w:val="Standard"/>
              <w:widowControl w:val="false"/>
              <w:snapToGrid w:val="false"/>
              <w:rPr/>
            </w:pPr>
            <w:r>
              <w:rPr>
                <w:sz w:val="22"/>
                <w:szCs w:val="22"/>
              </w:rPr>
              <w:t>Gres / panele winylowe</w:t>
            </w:r>
          </w:p>
        </w:tc>
        <w:tc>
          <w:tcPr>
            <w:tcW w:w="1411" w:type="dxa"/>
            <w:vMerge w:val="restart"/>
            <w:tcBorders>
              <w:left w:val="single" w:sz="2" w:space="0" w:color="000000"/>
              <w:bottom w:val="single" w:sz="4" w:space="0" w:color="000000"/>
              <w:right w:val="single" w:sz="2" w:space="0" w:color="000000"/>
            </w:tcBorders>
          </w:tcPr>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pPr>
            <w:r>
              <w:rPr>
                <w:sz w:val="22"/>
                <w:szCs w:val="22"/>
              </w:rPr>
              <w:t>603,80</w:t>
            </w:r>
          </w:p>
          <w:p>
            <w:pPr>
              <w:pStyle w:val="Standard"/>
              <w:widowControl w:val="false"/>
              <w:tabs>
                <w:tab w:val="clear" w:pos="708"/>
                <w:tab w:val="left" w:pos="135" w:leader="none"/>
              </w:tabs>
              <w:snapToGrid w:val="false"/>
              <w:ind w:right="5" w:hanging="0"/>
              <w:jc w:val="right"/>
              <w:rPr>
                <w:sz w:val="22"/>
                <w:szCs w:val="22"/>
              </w:rPr>
            </w:pPr>
            <w:r>
              <w:rPr>
                <w:sz w:val="22"/>
                <w:szCs w:val="22"/>
              </w:rPr>
            </w:r>
          </w:p>
        </w:tc>
      </w:tr>
      <w:tr>
        <w:trPr>
          <w:trHeight w:val="227" w:hRule="atLeast"/>
        </w:trPr>
        <w:tc>
          <w:tcPr>
            <w:tcW w:w="922" w:type="dxa"/>
            <w:vMerge w:val="continue"/>
            <w:tcBorders>
              <w:left w:val="single" w:sz="2" w:space="0" w:color="000000"/>
              <w:bottom w:val="single" w:sz="4" w:space="0" w:color="000000"/>
            </w:tcBorders>
          </w:tcPr>
          <w:p>
            <w:pPr>
              <w:pStyle w:val="Standard"/>
              <w:widowControl w:val="false"/>
              <w:snapToGrid w:val="false"/>
              <w:rPr>
                <w:sz w:val="22"/>
                <w:szCs w:val="22"/>
              </w:rPr>
            </w:pPr>
            <w:r>
              <w:rPr>
                <w:sz w:val="22"/>
                <w:szCs w:val="22"/>
              </w:rPr>
            </w:r>
          </w:p>
        </w:tc>
        <w:tc>
          <w:tcPr>
            <w:tcW w:w="2552" w:type="dxa"/>
            <w:vMerge w:val="continue"/>
            <w:tcBorders>
              <w:left w:val="single" w:sz="2" w:space="0" w:color="000000"/>
              <w:bottom w:val="single" w:sz="4" w:space="0" w:color="000000"/>
            </w:tcBorders>
          </w:tcPr>
          <w:p>
            <w:pPr>
              <w:pStyle w:val="Standard"/>
              <w:widowControl w:val="false"/>
              <w:snapToGrid w:val="false"/>
              <w:rPr>
                <w:sz w:val="22"/>
                <w:szCs w:val="22"/>
              </w:rPr>
            </w:pPr>
            <w:r>
              <w:rPr>
                <w:sz w:val="22"/>
                <w:szCs w:val="22"/>
              </w:rPr>
            </w:r>
          </w:p>
        </w:tc>
        <w:tc>
          <w:tcPr>
            <w:tcW w:w="3724" w:type="dxa"/>
            <w:tcBorders>
              <w:left w:val="single" w:sz="2" w:space="0" w:color="000000"/>
              <w:bottom w:val="single" w:sz="4" w:space="0" w:color="000000"/>
            </w:tcBorders>
          </w:tcPr>
          <w:p>
            <w:pPr>
              <w:pStyle w:val="Standard"/>
              <w:widowControl w:val="false"/>
              <w:snapToGrid w:val="false"/>
              <w:rPr/>
            </w:pPr>
            <w:r>
              <w:rPr>
                <w:sz w:val="22"/>
                <w:szCs w:val="22"/>
              </w:rPr>
              <w:t>Brak sufitu podwieszanego.</w:t>
            </w:r>
          </w:p>
          <w:p>
            <w:pPr>
              <w:pStyle w:val="Standard"/>
              <w:widowControl w:val="false"/>
              <w:snapToGrid w:val="false"/>
              <w:rPr/>
            </w:pPr>
            <w:r>
              <w:rPr>
                <w:sz w:val="22"/>
                <w:szCs w:val="22"/>
              </w:rPr>
              <w:t>Stropodach istniejący.</w:t>
            </w:r>
          </w:p>
        </w:tc>
        <w:tc>
          <w:tcPr>
            <w:tcW w:w="1411" w:type="dxa"/>
            <w:vMerge w:val="continue"/>
            <w:tcBorders>
              <w:left w:val="single" w:sz="2" w:space="0" w:color="000000"/>
              <w:bottom w:val="single" w:sz="4" w:space="0" w:color="000000"/>
              <w:right w:val="single" w:sz="2" w:space="0" w:color="000000"/>
            </w:tcBorders>
          </w:tcPr>
          <w:p>
            <w:pPr>
              <w:pStyle w:val="Standard"/>
              <w:widowControl w:val="false"/>
              <w:spacing w:lineRule="auto" w:line="259"/>
              <w:jc w:val="center"/>
              <w:rPr>
                <w:sz w:val="22"/>
                <w:szCs w:val="22"/>
              </w:rPr>
            </w:pPr>
            <w:r>
              <w:rPr>
                <w:sz w:val="22"/>
                <w:szCs w:val="22"/>
              </w:rPr>
            </w:r>
          </w:p>
        </w:tc>
      </w:tr>
      <w:tr>
        <w:trPr>
          <w:trHeight w:val="412" w:hRule="atLeast"/>
        </w:trPr>
        <w:tc>
          <w:tcPr>
            <w:tcW w:w="92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59"/>
              <w:rPr/>
            </w:pPr>
            <w:r>
              <w:rPr>
                <w:sz w:val="22"/>
                <w:szCs w:val="22"/>
              </w:rPr>
              <w:t>2</w:t>
            </w:r>
          </w:p>
        </w:tc>
        <w:tc>
          <w:tcPr>
            <w:tcW w:w="255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PRZYMIERZALNIE</w:t>
            </w:r>
          </w:p>
        </w:tc>
        <w:tc>
          <w:tcPr>
            <w:tcW w:w="37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napToGrid w:val="false"/>
              <w:rPr/>
            </w:pPr>
            <w:r>
              <w:rPr>
                <w:sz w:val="22"/>
                <w:szCs w:val="22"/>
              </w:rPr>
              <w:t>Gres / panele winylowe</w:t>
            </w:r>
          </w:p>
        </w:tc>
        <w:tc>
          <w:tcPr>
            <w:tcW w:w="1411" w:type="dxa"/>
            <w:vMerge w:val="restart"/>
            <w:tcBorders>
              <w:top w:val="single" w:sz="4" w:space="0" w:color="000000"/>
              <w:left w:val="single" w:sz="4" w:space="0" w:color="000000"/>
              <w:right w:val="single" w:sz="4" w:space="0" w:color="000000"/>
            </w:tcBorders>
          </w:tcPr>
          <w:p>
            <w:pPr>
              <w:pStyle w:val="Standard"/>
              <w:widowControl w:val="false"/>
              <w:spacing w:lineRule="auto" w:line="259"/>
              <w:jc w:val="center"/>
              <w:rPr/>
            </w:pPr>
            <w:r>
              <w:rPr>
                <w:sz w:val="22"/>
                <w:szCs w:val="22"/>
              </w:rPr>
              <w:t>14,23</w:t>
            </w:r>
          </w:p>
        </w:tc>
      </w:tr>
      <w:tr>
        <w:trPr>
          <w:trHeight w:val="147" w:hRule="atLeast"/>
        </w:trPr>
        <w:tc>
          <w:tcPr>
            <w:tcW w:w="922" w:type="dxa"/>
            <w:vMerge w:val="continue"/>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2552" w:type="dxa"/>
            <w:vMerge w:val="continue"/>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372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sz w:val="22"/>
                <w:szCs w:val="22"/>
              </w:rPr>
              <w:t>Brak sufitu podwieszanego.</w:t>
            </w:r>
          </w:p>
          <w:p>
            <w:pPr>
              <w:pStyle w:val="Standard"/>
              <w:widowControl w:val="false"/>
              <w:snapToGrid w:val="false"/>
              <w:rPr/>
            </w:pPr>
            <w:r>
              <w:rPr>
                <w:sz w:val="22"/>
                <w:szCs w:val="22"/>
              </w:rPr>
              <w:t>Stropodach istniejący.</w:t>
            </w:r>
          </w:p>
        </w:tc>
        <w:tc>
          <w:tcPr>
            <w:tcW w:w="1411" w:type="dxa"/>
            <w:vMerge w:val="continue"/>
            <w:tcBorders>
              <w:top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tc>
      </w:tr>
      <w:tr>
        <w:trPr>
          <w:trHeight w:val="240" w:hRule="atLeast"/>
        </w:trPr>
        <w:tc>
          <w:tcPr>
            <w:tcW w:w="92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Cs/>
                <w:sz w:val="22"/>
                <w:szCs w:val="22"/>
              </w:rPr>
              <w:t>3</w:t>
            </w:r>
          </w:p>
        </w:tc>
        <w:tc>
          <w:tcPr>
            <w:tcW w:w="255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MAGAZYN TOWARU</w:t>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Gres techniczny / panele winylowe</w:t>
            </w:r>
          </w:p>
        </w:tc>
        <w:tc>
          <w:tcPr>
            <w:tcW w:w="1411"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59"/>
              <w:jc w:val="center"/>
              <w:rPr/>
            </w:pPr>
            <w:r>
              <w:rPr>
                <w:sz w:val="22"/>
                <w:szCs w:val="22"/>
              </w:rPr>
              <w:t>76,76</w:t>
            </w:r>
          </w:p>
        </w:tc>
      </w:tr>
      <w:tr>
        <w:trPr>
          <w:trHeight w:val="349" w:hRule="atLeast"/>
        </w:trPr>
        <w:tc>
          <w:tcPr>
            <w:tcW w:w="922" w:type="dxa"/>
            <w:vMerge w:val="continue"/>
            <w:tcBorders>
              <w:left w:val="single" w:sz="4" w:space="0" w:color="000000"/>
              <w:bottom w:val="single" w:sz="4" w:space="0" w:color="000000"/>
              <w:right w:val="single" w:sz="4" w:space="0" w:color="000000"/>
            </w:tcBorders>
          </w:tcPr>
          <w:p>
            <w:pPr>
              <w:pStyle w:val="Standard"/>
              <w:widowControl w:val="false"/>
              <w:snapToGrid w:val="false"/>
              <w:rPr>
                <w:bCs/>
                <w:sz w:val="22"/>
                <w:szCs w:val="22"/>
              </w:rPr>
            </w:pPr>
            <w:r>
              <w:rPr>
                <w:bCs/>
                <w:sz w:val="22"/>
                <w:szCs w:val="22"/>
              </w:rPr>
            </w:r>
          </w:p>
        </w:tc>
        <w:tc>
          <w:tcPr>
            <w:tcW w:w="2552" w:type="dxa"/>
            <w:vMerge w:val="continue"/>
            <w:tcBorders>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3724" w:type="dxa"/>
            <w:tcBorders>
              <w:top w:val="single" w:sz="4" w:space="0" w:color="000000"/>
              <w:left w:val="single" w:sz="4" w:space="0" w:color="000000"/>
              <w:right w:val="single" w:sz="4" w:space="0" w:color="000000"/>
            </w:tcBorders>
            <w:tcMar>
              <w:left w:w="10" w:type="dxa"/>
              <w:right w:w="10" w:type="dxa"/>
            </w:tcMar>
          </w:tcPr>
          <w:p>
            <w:pPr>
              <w:pStyle w:val="Standard"/>
              <w:widowControl w:val="false"/>
              <w:snapToGrid w:val="false"/>
              <w:rPr/>
            </w:pPr>
            <w:r>
              <w:rPr>
                <w:sz w:val="22"/>
                <w:szCs w:val="22"/>
              </w:rPr>
              <w:t>Brak sufitu podwieszanego.</w:t>
            </w:r>
          </w:p>
          <w:p>
            <w:pPr>
              <w:pStyle w:val="Standard"/>
              <w:widowControl w:val="false"/>
              <w:snapToGrid w:val="false"/>
              <w:rPr/>
            </w:pPr>
            <w:r>
              <w:rPr>
                <w:sz w:val="22"/>
                <w:szCs w:val="22"/>
              </w:rPr>
              <w:t>Stropodach istniejący.</w:t>
            </w:r>
          </w:p>
        </w:tc>
        <w:tc>
          <w:tcPr>
            <w:tcW w:w="1411" w:type="dxa"/>
            <w:vMerge w:val="continue"/>
            <w:tcBorders>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tc>
      </w:tr>
      <w:tr>
        <w:trPr>
          <w:trHeight w:val="285" w:hRule="atLeast"/>
        </w:trPr>
        <w:tc>
          <w:tcPr>
            <w:tcW w:w="92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Cs/>
                <w:sz w:val="22"/>
                <w:szCs w:val="22"/>
              </w:rPr>
              <w:t>4</w:t>
            </w:r>
          </w:p>
        </w:tc>
        <w:tc>
          <w:tcPr>
            <w:tcW w:w="255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SZATNIA</w:t>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Gres techniczny / panele winylowe</w:t>
            </w:r>
          </w:p>
        </w:tc>
        <w:tc>
          <w:tcPr>
            <w:tcW w:w="1411"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pPr>
            <w:r>
              <w:rPr>
                <w:sz w:val="22"/>
                <w:szCs w:val="22"/>
              </w:rPr>
              <w:t>3,60</w:t>
            </w:r>
          </w:p>
        </w:tc>
      </w:tr>
      <w:tr>
        <w:trPr>
          <w:trHeight w:val="175" w:hRule="atLeast"/>
        </w:trPr>
        <w:tc>
          <w:tcPr>
            <w:tcW w:w="922" w:type="dxa"/>
            <w:vMerge w:val="continue"/>
            <w:tcBorders>
              <w:left w:val="single" w:sz="4" w:space="0" w:color="000000"/>
              <w:bottom w:val="single" w:sz="4" w:space="0" w:color="000000"/>
              <w:right w:val="single" w:sz="4" w:space="0" w:color="000000"/>
            </w:tcBorders>
          </w:tcPr>
          <w:p>
            <w:pPr>
              <w:pStyle w:val="Standard"/>
              <w:widowControl w:val="false"/>
              <w:snapToGrid w:val="false"/>
              <w:rPr>
                <w:bCs/>
                <w:sz w:val="22"/>
                <w:szCs w:val="22"/>
              </w:rPr>
            </w:pPr>
            <w:r>
              <w:rPr>
                <w:bCs/>
                <w:sz w:val="22"/>
                <w:szCs w:val="22"/>
              </w:rPr>
            </w:r>
          </w:p>
        </w:tc>
        <w:tc>
          <w:tcPr>
            <w:tcW w:w="2552" w:type="dxa"/>
            <w:vMerge w:val="continue"/>
            <w:tcBorders>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Brak sufitu podwieszanego.</w:t>
            </w:r>
          </w:p>
          <w:p>
            <w:pPr>
              <w:pStyle w:val="Standard"/>
              <w:widowControl w:val="false"/>
              <w:snapToGrid w:val="false"/>
              <w:rPr/>
            </w:pPr>
            <w:r>
              <w:rPr>
                <w:sz w:val="22"/>
                <w:szCs w:val="22"/>
              </w:rPr>
              <w:t>Stropodach istniejący.</w:t>
            </w:r>
          </w:p>
        </w:tc>
        <w:tc>
          <w:tcPr>
            <w:tcW w:w="1411" w:type="dxa"/>
            <w:vMerge w:val="continue"/>
            <w:tcBorders>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tc>
      </w:tr>
      <w:tr>
        <w:trPr>
          <w:trHeight w:val="249" w:hRule="atLeast"/>
        </w:trPr>
        <w:tc>
          <w:tcPr>
            <w:tcW w:w="92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sz w:val="22"/>
                <w:szCs w:val="22"/>
              </w:rPr>
              <w:t>5</w:t>
            </w:r>
          </w:p>
        </w:tc>
        <w:tc>
          <w:tcPr>
            <w:tcW w:w="255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POKÓJ KIEROWNIKA</w:t>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Gres techniczny / panele winylowe</w:t>
            </w:r>
          </w:p>
        </w:tc>
        <w:tc>
          <w:tcPr>
            <w:tcW w:w="1411"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sz w:val="22"/>
                <w:szCs w:val="22"/>
              </w:rPr>
            </w:pPr>
            <w:r>
              <w:rPr>
                <w:sz w:val="22"/>
                <w:szCs w:val="22"/>
              </w:rPr>
              <w:t>5,30</w:t>
            </w:r>
          </w:p>
        </w:tc>
      </w:tr>
      <w:tr>
        <w:trPr>
          <w:trHeight w:val="248" w:hRule="atLeast"/>
        </w:trPr>
        <w:tc>
          <w:tcPr>
            <w:tcW w:w="922" w:type="dxa"/>
            <w:vMerge w:val="continue"/>
            <w:tcBorders>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2552" w:type="dxa"/>
            <w:vMerge w:val="continue"/>
            <w:tcBorders>
              <w:left w:val="single" w:sz="4" w:space="0" w:color="000000"/>
              <w:bottom w:val="single" w:sz="4" w:space="0" w:color="000000"/>
              <w:right w:val="single" w:sz="4" w:space="0" w:color="000000"/>
            </w:tcBorders>
          </w:tcPr>
          <w:p>
            <w:pPr>
              <w:pStyle w:val="Standard"/>
              <w:widowControl w:val="false"/>
              <w:snapToGrid w:val="false"/>
              <w:rPr>
                <w:b/>
                <w:bCs/>
                <w:sz w:val="22"/>
                <w:szCs w:val="22"/>
              </w:rPr>
            </w:pPr>
            <w:r>
              <w:rPr>
                <w:b/>
                <w:bCs/>
                <w:sz w:val="22"/>
                <w:szCs w:val="22"/>
              </w:rPr>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Brak sufitu podwieszanego.</w:t>
            </w:r>
          </w:p>
          <w:p>
            <w:pPr>
              <w:pStyle w:val="Standard"/>
              <w:widowControl w:val="false"/>
              <w:snapToGrid w:val="false"/>
              <w:rPr/>
            </w:pPr>
            <w:r>
              <w:rPr>
                <w:sz w:val="22"/>
                <w:szCs w:val="22"/>
              </w:rPr>
              <w:t>Stropodach istniejący.</w:t>
            </w:r>
          </w:p>
        </w:tc>
        <w:tc>
          <w:tcPr>
            <w:tcW w:w="1411" w:type="dxa"/>
            <w:vMerge w:val="continue"/>
            <w:tcBorders>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tc>
      </w:tr>
      <w:tr>
        <w:trPr>
          <w:trHeight w:val="249" w:hRule="atLeast"/>
        </w:trPr>
        <w:tc>
          <w:tcPr>
            <w:tcW w:w="92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sz w:val="22"/>
                <w:szCs w:val="22"/>
              </w:rPr>
              <w:t>6</w:t>
            </w:r>
          </w:p>
        </w:tc>
        <w:tc>
          <w:tcPr>
            <w:tcW w:w="255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POKÓJ SOCJALNY</w:t>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Gres techniczny / panele winylowe</w:t>
            </w:r>
          </w:p>
        </w:tc>
        <w:tc>
          <w:tcPr>
            <w:tcW w:w="1411"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pPr>
            <w:r>
              <w:rPr>
                <w:sz w:val="22"/>
                <w:szCs w:val="22"/>
              </w:rPr>
              <w:t>7,29</w:t>
            </w:r>
          </w:p>
        </w:tc>
      </w:tr>
      <w:tr>
        <w:trPr>
          <w:trHeight w:val="248" w:hRule="atLeast"/>
        </w:trPr>
        <w:tc>
          <w:tcPr>
            <w:tcW w:w="922" w:type="dxa"/>
            <w:vMerge w:val="continue"/>
            <w:tcBorders>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2552" w:type="dxa"/>
            <w:vMerge w:val="continue"/>
            <w:tcBorders>
              <w:left w:val="single" w:sz="4" w:space="0" w:color="000000"/>
              <w:bottom w:val="single" w:sz="4" w:space="0" w:color="000000"/>
              <w:right w:val="single" w:sz="4" w:space="0" w:color="000000"/>
            </w:tcBorders>
          </w:tcPr>
          <w:p>
            <w:pPr>
              <w:pStyle w:val="Standard"/>
              <w:widowControl w:val="false"/>
              <w:snapToGrid w:val="false"/>
              <w:rPr>
                <w:b/>
                <w:bCs/>
                <w:sz w:val="22"/>
                <w:szCs w:val="22"/>
              </w:rPr>
            </w:pPr>
            <w:r>
              <w:rPr>
                <w:b/>
                <w:bCs/>
                <w:sz w:val="22"/>
                <w:szCs w:val="22"/>
              </w:rPr>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Brak sufitu podwieszanego.</w:t>
            </w:r>
          </w:p>
          <w:p>
            <w:pPr>
              <w:pStyle w:val="Standard"/>
              <w:widowControl w:val="false"/>
              <w:snapToGrid w:val="false"/>
              <w:rPr/>
            </w:pPr>
            <w:r>
              <w:rPr>
                <w:sz w:val="22"/>
                <w:szCs w:val="22"/>
              </w:rPr>
              <w:t>Stropodach istniejący.</w:t>
            </w:r>
          </w:p>
        </w:tc>
        <w:tc>
          <w:tcPr>
            <w:tcW w:w="1411" w:type="dxa"/>
            <w:vMerge w:val="continue"/>
            <w:tcBorders>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tc>
      </w:tr>
      <w:tr>
        <w:trPr>
          <w:trHeight w:val="124" w:hRule="atLeast"/>
        </w:trPr>
        <w:tc>
          <w:tcPr>
            <w:tcW w:w="92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sz w:val="22"/>
                <w:szCs w:val="22"/>
              </w:rPr>
              <w:t>8</w:t>
            </w:r>
          </w:p>
        </w:tc>
        <w:tc>
          <w:tcPr>
            <w:tcW w:w="2552"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WC</w:t>
            </w:r>
          </w:p>
        </w:tc>
        <w:tc>
          <w:tcPr>
            <w:tcW w:w="3724"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Gres techniczny / panele winylowe</w:t>
            </w:r>
          </w:p>
        </w:tc>
        <w:tc>
          <w:tcPr>
            <w:tcW w:w="1411" w:type="dxa"/>
            <w:vMerge w:val="restart"/>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p>
            <w:pPr>
              <w:pStyle w:val="Standard"/>
              <w:widowControl w:val="false"/>
              <w:spacing w:lineRule="auto" w:line="259"/>
              <w:jc w:val="center"/>
              <w:rPr/>
            </w:pPr>
            <w:r>
              <w:rPr>
                <w:sz w:val="22"/>
                <w:szCs w:val="22"/>
              </w:rPr>
              <w:t>3,74</w:t>
            </w:r>
          </w:p>
        </w:tc>
      </w:tr>
      <w:tr>
        <w:trPr>
          <w:trHeight w:val="124" w:hRule="atLeast"/>
        </w:trPr>
        <w:tc>
          <w:tcPr>
            <w:tcW w:w="922" w:type="dxa"/>
            <w:vMerge w:val="continue"/>
            <w:tcBorders>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2552" w:type="dxa"/>
            <w:vMerge w:val="continue"/>
            <w:tcBorders>
              <w:left w:val="single" w:sz="4" w:space="0" w:color="000000"/>
              <w:bottom w:val="single" w:sz="4" w:space="0" w:color="000000"/>
              <w:right w:val="single" w:sz="4" w:space="0" w:color="000000"/>
            </w:tcBorders>
          </w:tcPr>
          <w:p>
            <w:pPr>
              <w:pStyle w:val="Standard"/>
              <w:widowControl w:val="false"/>
              <w:snapToGrid w:val="false"/>
              <w:rPr>
                <w:b/>
                <w:bCs/>
                <w:sz w:val="22"/>
                <w:szCs w:val="22"/>
              </w:rPr>
            </w:pPr>
            <w:r>
              <w:rPr>
                <w:b/>
                <w:bCs/>
                <w:sz w:val="22"/>
                <w:szCs w:val="22"/>
              </w:rPr>
            </w:r>
          </w:p>
        </w:tc>
        <w:tc>
          <w:tcPr>
            <w:tcW w:w="3724" w:type="dxa"/>
            <w:tcBorders>
              <w:left w:val="single" w:sz="4" w:space="0" w:color="000000"/>
              <w:bottom w:val="single" w:sz="4" w:space="0" w:color="000000"/>
              <w:right w:val="single" w:sz="4" w:space="0" w:color="000000"/>
            </w:tcBorders>
            <w:tcMar>
              <w:left w:w="10" w:type="dxa"/>
              <w:right w:w="10" w:type="dxa"/>
            </w:tcMar>
          </w:tcPr>
          <w:p>
            <w:pPr>
              <w:pStyle w:val="Standard"/>
              <w:widowControl w:val="false"/>
              <w:snapToGrid w:val="false"/>
              <w:rPr/>
            </w:pPr>
            <w:r>
              <w:rPr>
                <w:sz w:val="22"/>
                <w:szCs w:val="22"/>
              </w:rPr>
              <w:t>Sufit podwieszany Armstrong</w:t>
            </w:r>
          </w:p>
        </w:tc>
        <w:tc>
          <w:tcPr>
            <w:tcW w:w="1411" w:type="dxa"/>
            <w:vMerge w:val="continue"/>
            <w:tcBorders>
              <w:left w:val="single" w:sz="4" w:space="0" w:color="000000"/>
              <w:bottom w:val="single" w:sz="4" w:space="0" w:color="000000"/>
              <w:right w:val="single" w:sz="4" w:space="0" w:color="000000"/>
            </w:tcBorders>
          </w:tcPr>
          <w:p>
            <w:pPr>
              <w:pStyle w:val="Standard"/>
              <w:widowControl w:val="false"/>
              <w:spacing w:lineRule="auto" w:line="259"/>
              <w:jc w:val="center"/>
              <w:rPr>
                <w:sz w:val="22"/>
                <w:szCs w:val="22"/>
              </w:rPr>
            </w:pPr>
            <w:r>
              <w:rPr>
                <w:sz w:val="22"/>
                <w:szCs w:val="22"/>
              </w:rPr>
            </w:r>
          </w:p>
        </w:tc>
      </w:tr>
      <w:tr>
        <w:trPr>
          <w:trHeight w:val="475" w:hRule="atLeast"/>
        </w:trPr>
        <w:tc>
          <w:tcPr>
            <w:tcW w:w="922"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pPr>
            <w:r>
              <w:rPr>
                <w:b/>
                <w:bCs/>
                <w:sz w:val="22"/>
                <w:szCs w:val="22"/>
              </w:rPr>
              <w:t>Suma</w:t>
            </w:r>
          </w:p>
        </w:tc>
        <w:tc>
          <w:tcPr>
            <w:tcW w:w="6276" w:type="dxa"/>
            <w:gridSpan w:val="2"/>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22"/>
                <w:szCs w:val="22"/>
              </w:rPr>
            </w:pPr>
            <w:r>
              <w:rPr>
                <w:sz w:val="22"/>
                <w:szCs w:val="22"/>
              </w:rPr>
            </w:r>
          </w:p>
        </w:tc>
        <w:tc>
          <w:tcPr>
            <w:tcW w:w="1411" w:type="dxa"/>
            <w:tcBorders>
              <w:top w:val="single" w:sz="4" w:space="0" w:color="000000"/>
              <w:left w:val="single" w:sz="4" w:space="0" w:color="000000"/>
              <w:bottom w:val="single" w:sz="4" w:space="0" w:color="000000"/>
              <w:right w:val="single" w:sz="4" w:space="0" w:color="000000"/>
            </w:tcBorders>
          </w:tcPr>
          <w:p>
            <w:pPr>
              <w:pStyle w:val="Standard"/>
              <w:widowControl w:val="false"/>
              <w:jc w:val="center"/>
              <w:rPr/>
            </w:pPr>
            <w:r>
              <w:rPr>
                <w:b/>
                <w:bCs/>
                <w:sz w:val="22"/>
                <w:szCs w:val="22"/>
              </w:rPr>
              <w:t xml:space="preserve"> </w:t>
            </w:r>
            <w:r>
              <w:rPr>
                <w:b/>
                <w:bCs/>
                <w:sz w:val="22"/>
                <w:szCs w:val="22"/>
              </w:rPr>
              <w:t>714,72</w:t>
            </w:r>
          </w:p>
        </w:tc>
      </w:tr>
    </w:tbl>
    <w:p>
      <w:pPr>
        <w:pStyle w:val="Nagwek2"/>
        <w:rPr/>
      </w:pPr>
      <w:bookmarkStart w:id="4" w:name="_Toc358293458"/>
      <w:r>
        <w:rPr>
          <w:i w:val="false"/>
          <w:iCs w:val="false"/>
          <w:sz w:val="22"/>
          <w:szCs w:val="22"/>
        </w:rPr>
        <w:t>1.4 PODSTAWA OPRACOWANIA</w:t>
      </w:r>
      <w:bookmarkEnd w:id="4"/>
    </w:p>
    <w:p>
      <w:pPr>
        <w:pStyle w:val="Normal"/>
        <w:rPr>
          <w:rFonts w:ascii="Arial" w:hAnsi="Arial" w:eastAsia="Times New Roman" w:cs="Arial"/>
          <w:sz w:val="22"/>
          <w:szCs w:val="22"/>
        </w:rPr>
      </w:pPr>
      <w:r>
        <w:rPr>
          <w:rFonts w:eastAsia="Times New Roman" w:cs="Arial" w:ascii="Arial" w:hAnsi="Arial"/>
          <w:sz w:val="22"/>
          <w:szCs w:val="22"/>
        </w:rPr>
      </w:r>
    </w:p>
    <w:p>
      <w:pPr>
        <w:pStyle w:val="Normal"/>
        <w:jc w:val="both"/>
        <w:rPr>
          <w:rFonts w:ascii="Arial" w:hAnsi="Arial" w:cs="Arial"/>
          <w:sz w:val="22"/>
          <w:szCs w:val="22"/>
        </w:rPr>
      </w:pPr>
      <w:r>
        <w:rPr>
          <w:rFonts w:cs="Arial" w:ascii="Arial" w:hAnsi="Arial"/>
          <w:sz w:val="22"/>
          <w:szCs w:val="22"/>
        </w:rPr>
        <w:t>- Umowa z Inwestorem.</w:t>
      </w:r>
    </w:p>
    <w:p>
      <w:pPr>
        <w:pStyle w:val="Normal"/>
        <w:jc w:val="both"/>
        <w:rPr>
          <w:rFonts w:ascii="Arial" w:hAnsi="Arial" w:cs="Arial"/>
          <w:sz w:val="22"/>
          <w:szCs w:val="22"/>
        </w:rPr>
      </w:pPr>
      <w:r>
        <w:rPr>
          <w:rFonts w:cs="Arial" w:ascii="Arial" w:hAnsi="Arial"/>
          <w:sz w:val="22"/>
          <w:szCs w:val="22"/>
        </w:rPr>
        <w:t>- Wizje lokalne obiektu.</w:t>
      </w:r>
    </w:p>
    <w:p>
      <w:pPr>
        <w:pStyle w:val="Normal"/>
        <w:jc w:val="both"/>
        <w:rPr>
          <w:rFonts w:ascii="Arial" w:hAnsi="Arial" w:cs="Arial"/>
          <w:sz w:val="22"/>
          <w:szCs w:val="22"/>
        </w:rPr>
      </w:pPr>
      <w:r>
        <w:rPr>
          <w:rFonts w:cs="Arial" w:ascii="Arial" w:hAnsi="Arial"/>
          <w:sz w:val="22"/>
          <w:szCs w:val="22"/>
        </w:rPr>
        <w:t>- Podkłady projektowe, wytyczne dla najemców galerii handlowo – usługowej.</w:t>
      </w:r>
      <w:r>
        <w:rPr/>
        <w:br/>
      </w:r>
      <w:r>
        <w:rPr>
          <w:rFonts w:cs="Arial" w:ascii="Arial" w:hAnsi="Arial"/>
          <w:sz w:val="22"/>
          <w:szCs w:val="22"/>
        </w:rPr>
        <w:t>- Koncepcja aranżacji wnętrza opracowana przez Inwestora.</w:t>
      </w:r>
    </w:p>
    <w:p>
      <w:pPr>
        <w:pStyle w:val="Normal"/>
        <w:jc w:val="both"/>
        <w:rPr>
          <w:rFonts w:ascii="Arial" w:hAnsi="Arial" w:cs="Arial"/>
          <w:sz w:val="22"/>
          <w:szCs w:val="22"/>
        </w:rPr>
      </w:pPr>
      <w:r>
        <w:rPr>
          <w:rFonts w:cs="Arial" w:ascii="Arial" w:hAnsi="Arial"/>
          <w:sz w:val="22"/>
          <w:szCs w:val="22"/>
        </w:rPr>
        <w:t>- Przepisy, normy i technologie dla stosowanych materiałów i urządzeń.</w:t>
      </w:r>
    </w:p>
    <w:p>
      <w:pPr>
        <w:pStyle w:val="Normal"/>
        <w:jc w:val="both"/>
        <w:rPr>
          <w:rFonts w:ascii="Arial" w:hAnsi="Arial" w:cs="Arial"/>
          <w:sz w:val="22"/>
          <w:szCs w:val="22"/>
        </w:rPr>
      </w:pPr>
      <w:r>
        <w:rPr>
          <w:rFonts w:cs="Arial" w:ascii="Arial" w:hAnsi="Arial"/>
          <w:sz w:val="22"/>
          <w:szCs w:val="22"/>
        </w:rPr>
        <w:t xml:space="preserve">- Certyfikaty, aprobaty techniczne i deklaracje zgodności używanych przy ww. aranżacji </w:t>
        <w:br/>
        <w:t xml:space="preserve">  materiałów budowlanych i technologii, potwierdzające ich dopuszczenie do </w:t>
        <w:br/>
        <w:t xml:space="preserve">  powszechnego stosowania w budownictwie.</w:t>
      </w:r>
    </w:p>
    <w:p>
      <w:pPr>
        <w:pStyle w:val="Normal"/>
        <w:jc w:val="both"/>
        <w:rPr>
          <w:rFonts w:ascii="Arial" w:hAnsi="Arial" w:cs="Arial"/>
          <w:sz w:val="22"/>
          <w:szCs w:val="22"/>
        </w:rPr>
      </w:pPr>
      <w:r>
        <w:rPr>
          <w:rFonts w:cs="Arial" w:ascii="Arial" w:hAnsi="Arial"/>
          <w:sz w:val="22"/>
          <w:szCs w:val="22"/>
        </w:rPr>
        <w:t xml:space="preserve">- Robocze uzgodnienia z przedstawicielami (kopie rysunków roboczych i notatki </w:t>
        <w:br/>
        <w:t xml:space="preserve">  służbowe w posiadaniu „Vector”).</w:t>
      </w:r>
    </w:p>
    <w:p>
      <w:pPr>
        <w:pStyle w:val="Normal"/>
        <w:jc w:val="both"/>
        <w:rPr>
          <w:rFonts w:ascii="Arial" w:hAnsi="Arial" w:cs="Arial"/>
          <w:sz w:val="22"/>
          <w:szCs w:val="22"/>
        </w:rPr>
      </w:pPr>
      <w:r>
        <w:rPr>
          <w:rFonts w:cs="Arial" w:ascii="Arial" w:hAnsi="Arial"/>
          <w:sz w:val="22"/>
          <w:szCs w:val="22"/>
        </w:rPr>
        <w:t>- Obowiązujące przepisy oraz akty prawne, w tym przede wszystkim:</w:t>
        <w:br/>
        <w:t xml:space="preserve"> </w:t>
        <w:tab/>
        <w:t xml:space="preserve">  &gt; Ustawa z dn. 7 lipca 1994 r. – Prawo budowlane </w:t>
        <w:br/>
        <w:t xml:space="preserve"> </w:t>
        <w:tab/>
        <w:t xml:space="preserve">  &gt; Warunki techniczne jakim powinny odpowiadać budynki i ich usytuowanie </w:t>
        <w:br/>
        <w:t xml:space="preserve">   </w:t>
        <w:tab/>
        <w:t xml:space="preserve">  &gt; Ustawa o planowaniu i zagospodarowaniu przestrzennym </w:t>
        <w:br/>
        <w:t xml:space="preserve">  </w:t>
        <w:tab/>
        <w:t xml:space="preserve">  &gt; Rozporządzenie w sprawie szczegółowego zakresu i formy projektu </w:t>
        <w:tab/>
        <w:t xml:space="preserve">budowlanego </w:t>
        <w:br/>
      </w:r>
    </w:p>
    <w:p>
      <w:pPr>
        <w:pStyle w:val="Normal"/>
        <w:jc w:val="both"/>
        <w:rPr>
          <w:rFonts w:ascii="Arial" w:hAnsi="Arial" w:cs="Arial"/>
          <w:b/>
          <w:bCs/>
          <w:sz w:val="22"/>
          <w:szCs w:val="22"/>
        </w:rPr>
      </w:pPr>
      <w:r>
        <w:rPr>
          <w:rFonts w:cs="Arial" w:ascii="Arial" w:hAnsi="Arial"/>
          <w:b/>
          <w:bCs/>
          <w:sz w:val="22"/>
          <w:szCs w:val="22"/>
        </w:rPr>
        <w:t>Oświadczenie ogólne</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Niniejsze opracowanie jest zgodne z umową  i kompletne z punktu widzenia celu, któremu ma służyć. Przedmiotowy projekt (utwór architektoniczny) jest chroniony prawem autorskim zgodnie z Ustawą nr 83 z dn. 04.02.1994 r. ‘O prawie autorskim i prawach pokrewnych’ (Dz.U. nr 94.24.83).</w:t>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sz w:val="22"/>
          <w:szCs w:val="22"/>
        </w:rPr>
      </w:pPr>
      <w:r>
        <w:rPr>
          <w:rFonts w:cs="Arial" w:ascii="Arial" w:hAnsi="Arial"/>
          <w:sz w:val="22"/>
          <w:szCs w:val="22"/>
        </w:rPr>
        <w:t>Niniejsze opracowanie zostało wykonane zgodnie z obowiązującymi przepisami i zasadami wiedzy technicznej. Zastosowane materiały wykończeniowe posiadają atesty wymagane przez polskie Prawo Budowlane.</w:t>
      </w:r>
    </w:p>
    <w:p>
      <w:pPr>
        <w:pStyle w:val="Normal"/>
        <w:jc w:val="both"/>
        <w:rPr>
          <w:rFonts w:ascii="Arial" w:hAnsi="Arial" w:cs="Arial"/>
          <w:sz w:val="22"/>
          <w:szCs w:val="22"/>
        </w:rPr>
      </w:pPr>
      <w:r>
        <w:rPr>
          <w:rFonts w:cs="Arial" w:ascii="Arial" w:hAnsi="Arial"/>
          <w:sz w:val="22"/>
          <w:szCs w:val="22"/>
        </w:rPr>
        <w:br/>
      </w:r>
    </w:p>
    <w:p>
      <w:pPr>
        <w:pStyle w:val="Normal"/>
        <w:rPr>
          <w:rFonts w:ascii="Arial" w:hAnsi="Arial" w:cs="Arial"/>
          <w:sz w:val="22"/>
          <w:szCs w:val="22"/>
        </w:rPr>
      </w:pPr>
      <w:r>
        <w:rPr>
          <w:rFonts w:cs="Arial" w:ascii="Arial" w:hAnsi="Arial"/>
          <w:sz w:val="22"/>
          <w:szCs w:val="22"/>
        </w:rPr>
      </w:r>
      <w:r>
        <w:br w:type="page"/>
      </w:r>
    </w:p>
    <w:p>
      <w:pPr>
        <w:pStyle w:val="Standard"/>
        <w:keepNext w:val="true"/>
        <w:tabs>
          <w:tab w:val="clear" w:pos="708"/>
          <w:tab w:val="left" w:pos="360" w:leader="none"/>
        </w:tabs>
        <w:rPr>
          <w:b/>
          <w:bCs/>
        </w:rPr>
      </w:pPr>
      <w:r>
        <w:rPr>
          <w:b/>
          <w:bCs/>
        </w:rPr>
        <w:t>II.</w:t>
        <w:tab/>
        <w:t>OPIS TECHNICZNY - CZĘŚĆ SZCZEGÓŁOWA – OPIS ROBÓT BUDOWLANYCH</w:t>
      </w:r>
    </w:p>
    <w:p>
      <w:pPr>
        <w:pStyle w:val="Standard"/>
        <w:keepNext w:val="true"/>
        <w:tabs>
          <w:tab w:val="clear" w:pos="708"/>
          <w:tab w:val="left" w:pos="2160" w:leader="none"/>
        </w:tabs>
        <w:spacing w:before="240" w:after="60"/>
        <w:rPr>
          <w:b/>
          <w:bCs/>
          <w:sz w:val="22"/>
          <w:szCs w:val="22"/>
        </w:rPr>
      </w:pPr>
      <w:r>
        <w:rPr>
          <w:b/>
          <w:bCs/>
          <w:sz w:val="22"/>
          <w:szCs w:val="22"/>
        </w:rPr>
        <w:t>Układ funkcjonalny</w:t>
      </w:r>
    </w:p>
    <w:p>
      <w:pPr>
        <w:pStyle w:val="Standard"/>
        <w:keepNext w:val="true"/>
        <w:tabs>
          <w:tab w:val="clear" w:pos="708"/>
          <w:tab w:val="left" w:pos="2160" w:leader="none"/>
        </w:tabs>
        <w:jc w:val="both"/>
        <w:rPr/>
      </w:pPr>
      <w:r>
        <w:rPr>
          <w:sz w:val="22"/>
          <w:szCs w:val="22"/>
        </w:rPr>
        <w:t xml:space="preserve">Projekt zakłada wykonanie następującego układu funkcjonalnego: </w:t>
      </w:r>
    </w:p>
    <w:p>
      <w:pPr>
        <w:pStyle w:val="Standard"/>
        <w:keepNext w:val="true"/>
        <w:numPr>
          <w:ilvl w:val="0"/>
          <w:numId w:val="7"/>
        </w:numPr>
        <w:tabs>
          <w:tab w:val="clear" w:pos="708"/>
          <w:tab w:val="left" w:pos="2160" w:leader="none"/>
        </w:tabs>
        <w:jc w:val="both"/>
        <w:rPr>
          <w:sz w:val="22"/>
          <w:szCs w:val="22"/>
        </w:rPr>
      </w:pPr>
      <w:r>
        <w:rPr>
          <w:sz w:val="22"/>
          <w:szCs w:val="22"/>
        </w:rPr>
        <w:t>Wydzielenie nowych pomieszczeń przymierzalni, magazynu towaru oraz zaplecza: pokoju socjalnego, szatni, wc i pokoju kierownika, ściankami gipsowo-kartonowymi;</w:t>
      </w:r>
    </w:p>
    <w:p>
      <w:pPr>
        <w:pStyle w:val="Standard"/>
        <w:keepNext w:val="true"/>
        <w:numPr>
          <w:ilvl w:val="0"/>
          <w:numId w:val="7"/>
        </w:numPr>
        <w:tabs>
          <w:tab w:val="clear" w:pos="708"/>
          <w:tab w:val="left" w:pos="2160" w:leader="none"/>
        </w:tabs>
        <w:jc w:val="both"/>
        <w:rPr>
          <w:sz w:val="22"/>
          <w:szCs w:val="22"/>
        </w:rPr>
      </w:pPr>
      <w:r>
        <w:rPr>
          <w:sz w:val="22"/>
          <w:szCs w:val="22"/>
        </w:rPr>
        <w:t>Wybudowanie nowych przedścianek na sali sprzedaży oraz obudów słupów.</w:t>
      </w:r>
    </w:p>
    <w:p>
      <w:pPr>
        <w:pStyle w:val="Standard"/>
        <w:keepNext w:val="true"/>
        <w:tabs>
          <w:tab w:val="clear" w:pos="708"/>
          <w:tab w:val="left" w:pos="2160" w:leader="none"/>
        </w:tabs>
        <w:spacing w:before="240" w:after="60"/>
        <w:jc w:val="both"/>
        <w:rPr>
          <w:sz w:val="22"/>
          <w:szCs w:val="22"/>
        </w:rPr>
      </w:pPr>
      <w:r>
        <w:rPr>
          <w:sz w:val="22"/>
          <w:szCs w:val="22"/>
        </w:rPr>
        <w:t>Pozostałe zmiany w wyglądzie sklepu będą polegały na dostosowaniu instalacji oraz postawieniu zabudowy meblowej.</w:t>
      </w:r>
    </w:p>
    <w:p>
      <w:pPr>
        <w:pStyle w:val="Standard"/>
        <w:keepNext w:val="true"/>
        <w:tabs>
          <w:tab w:val="clear" w:pos="708"/>
          <w:tab w:val="left" w:pos="2160" w:leader="none"/>
        </w:tabs>
        <w:spacing w:before="240" w:after="60"/>
        <w:rPr>
          <w:b/>
          <w:bCs/>
          <w:sz w:val="22"/>
          <w:szCs w:val="22"/>
        </w:rPr>
      </w:pPr>
      <w:r>
        <w:rPr>
          <w:b/>
          <w:bCs/>
          <w:sz w:val="22"/>
          <w:szCs w:val="22"/>
        </w:rPr>
        <w:t xml:space="preserve">2.1 Ściany </w:t>
      </w:r>
      <w:r>
        <w:rPr/>
        <w:br/>
        <w:br/>
      </w:r>
      <w:r>
        <w:rPr>
          <w:b/>
          <w:bCs/>
          <w:sz w:val="22"/>
          <w:szCs w:val="22"/>
        </w:rPr>
        <w:t>Ściany międzylokalowe – stan istniejący.</w:t>
      </w:r>
    </w:p>
    <w:p>
      <w:pPr>
        <w:pStyle w:val="Standard"/>
        <w:jc w:val="both"/>
        <w:rPr>
          <w:iCs/>
          <w:sz w:val="22"/>
          <w:szCs w:val="22"/>
        </w:rPr>
      </w:pPr>
      <w:r>
        <w:rPr>
          <w:iCs/>
          <w:sz w:val="22"/>
          <w:szCs w:val="22"/>
        </w:rPr>
        <w:t xml:space="preserve">Ściany, oddzielające lokale Najemców od części wspólnej lub innych lokali Najemców są wykonane w suchej zabudowie gipsowo-kartonowej, systemowe. Wykończone zgodnie ze standardem pozostałych ścian w centrum handlowym. </w:t>
      </w:r>
    </w:p>
    <w:p>
      <w:pPr>
        <w:pStyle w:val="Standard"/>
        <w:jc w:val="both"/>
        <w:rPr>
          <w:sz w:val="22"/>
          <w:szCs w:val="22"/>
        </w:rPr>
      </w:pPr>
      <w:r>
        <w:rPr>
          <w:sz w:val="22"/>
          <w:szCs w:val="22"/>
        </w:rPr>
      </w:r>
    </w:p>
    <w:p>
      <w:pPr>
        <w:pStyle w:val="Normal"/>
        <w:widowControl/>
        <w:numPr>
          <w:ilvl w:val="0"/>
          <w:numId w:val="5"/>
        </w:numPr>
        <w:suppressAutoHyphens w:val="false"/>
        <w:textAlignment w:val="auto"/>
        <w:rPr>
          <w:rFonts w:ascii="Arial" w:hAnsi="Arial" w:cs="Arial"/>
          <w:sz w:val="22"/>
          <w:szCs w:val="22"/>
        </w:rPr>
      </w:pPr>
      <w:r>
        <w:rPr>
          <w:rFonts w:cs="Arial" w:ascii="Arial" w:hAnsi="Arial"/>
          <w:b/>
          <w:bCs/>
          <w:sz w:val="22"/>
          <w:szCs w:val="22"/>
        </w:rPr>
        <w:t xml:space="preserve">Uwaga: Prowadzenie instalacji w istniejących ścianach centrum jest </w:t>
        <w:br/>
        <w:t>niedozwolone!</w:t>
      </w:r>
    </w:p>
    <w:p>
      <w:pPr>
        <w:pStyle w:val="Standard"/>
        <w:keepNext w:val="true"/>
        <w:tabs>
          <w:tab w:val="clear" w:pos="708"/>
          <w:tab w:val="left" w:pos="2160" w:leader="none"/>
        </w:tabs>
        <w:spacing w:before="240" w:after="60"/>
        <w:jc w:val="both"/>
        <w:rPr>
          <w:b/>
          <w:bCs/>
          <w:sz w:val="22"/>
          <w:szCs w:val="22"/>
        </w:rPr>
      </w:pPr>
      <w:r>
        <w:rPr>
          <w:b/>
          <w:bCs/>
          <w:sz w:val="22"/>
          <w:szCs w:val="22"/>
          <w:u w:val="single"/>
        </w:rPr>
        <w:t>Ściany wewnętrzne</w:t>
      </w:r>
      <w:r>
        <w:rPr>
          <w:b/>
          <w:bCs/>
          <w:sz w:val="22"/>
          <w:szCs w:val="22"/>
        </w:rPr>
        <w:t xml:space="preserve"> – stan projektowany (dokładną technologię wykonania podano w części rysunkowej).</w:t>
      </w:r>
    </w:p>
    <w:p>
      <w:pPr>
        <w:pStyle w:val="Standard"/>
        <w:keepNext w:val="true"/>
        <w:tabs>
          <w:tab w:val="clear" w:pos="708"/>
          <w:tab w:val="left" w:pos="2160" w:leader="none"/>
        </w:tabs>
        <w:spacing w:before="240" w:after="60"/>
        <w:rPr>
          <w:sz w:val="22"/>
          <w:szCs w:val="22"/>
        </w:rPr>
      </w:pPr>
      <w:r>
        <w:rPr>
          <w:sz w:val="22"/>
          <w:szCs w:val="22"/>
        </w:rPr>
        <w:t>Projektuje się dodatkowe przedścianki wyłącznie w miejscu lokalizacji obciążających montaży ściennych.</w:t>
      </w:r>
      <w:r>
        <w:rPr/>
        <w:t xml:space="preserve"> </w:t>
      </w:r>
      <w:r>
        <w:rPr>
          <w:sz w:val="22"/>
          <w:szCs w:val="22"/>
        </w:rPr>
        <w:t>Montaż konstrukcji przedścianek do ścian wydzielających lokal, wraz z możliwością stabilizacji. Wyjątek stanowią przedścianki przy ścianie z płyty obornickiej, te projektuje się mocowane strop-strop. Pozostałe ściany wydzielające lokal należy pomalować. Projektuje się również nowe ściany wydzielające przymierzalnie, magazyn towaru i pom. zaplecza.</w:t>
      </w:r>
    </w:p>
    <w:p>
      <w:pPr>
        <w:pStyle w:val="Default"/>
        <w:rPr>
          <w:color w:val="auto"/>
          <w:sz w:val="22"/>
          <w:szCs w:val="22"/>
        </w:rPr>
      </w:pPr>
      <w:r>
        <w:rPr>
          <w:color w:val="auto"/>
          <w:sz w:val="22"/>
          <w:szCs w:val="22"/>
        </w:rPr>
        <w:tab/>
      </w:r>
    </w:p>
    <w:p>
      <w:pPr>
        <w:pStyle w:val="Default"/>
        <w:rPr>
          <w:color w:val="auto"/>
          <w:sz w:val="22"/>
          <w:szCs w:val="22"/>
        </w:rPr>
      </w:pPr>
      <w:r>
        <w:rPr>
          <w:b/>
          <w:color w:val="auto"/>
          <w:sz w:val="22"/>
          <w:szCs w:val="22"/>
        </w:rPr>
        <w:t>UWAG</w:t>
      </w:r>
      <w:r>
        <w:rPr>
          <w:b/>
          <w:sz w:val="22"/>
        </w:rPr>
        <w:t xml:space="preserve">A! </w:t>
      </w:r>
    </w:p>
    <w:p>
      <w:pPr>
        <w:pStyle w:val="Default"/>
        <w:rPr>
          <w:color w:val="auto"/>
          <w:sz w:val="22"/>
          <w:szCs w:val="22"/>
        </w:rPr>
      </w:pPr>
      <w:r>
        <w:rPr>
          <w:b/>
          <w:sz w:val="22"/>
        </w:rPr>
        <w:t xml:space="preserve">Wynajmujący wyraził zgodę na stabilizację ścian do ścian międzylokalowych! </w:t>
      </w:r>
    </w:p>
    <w:p>
      <w:pPr>
        <w:pStyle w:val="Default"/>
        <w:rPr>
          <w:color w:val="auto"/>
          <w:sz w:val="22"/>
          <w:szCs w:val="22"/>
        </w:rPr>
      </w:pPr>
      <w:r>
        <w:rPr>
          <w:color w:val="auto"/>
          <w:sz w:val="22"/>
          <w:szCs w:val="22"/>
        </w:rPr>
      </w:r>
    </w:p>
    <w:p>
      <w:pPr>
        <w:pStyle w:val="Default"/>
        <w:rPr>
          <w:b/>
          <w:bCs/>
          <w:color w:val="auto"/>
        </w:rPr>
      </w:pPr>
      <w:r>
        <w:rPr>
          <w:b/>
          <w:bCs/>
          <w:color w:val="auto"/>
          <w:sz w:val="22"/>
        </w:rPr>
        <w:t>Ściany działowe wewnątrz lokali należy projektować o wysokości nie powodującej zbliżenia do tryskaczy mniejszej niż 1,0m (Tryskacze w obiekcie zlokalizowane są nie dalej jak 45cm od dachu). W sytuacji gdy, ściany działowe muszą być na wysokość całego pomieszczenia Najemca zobowiązany jest do wykonania dodatkowych tryskaczy zgodnie z uwagami z rozdziału 7.5 instalacje tryskaczowe podręcznika Najemcy</w:t>
      </w:r>
      <w:r>
        <w:rPr>
          <w:b/>
          <w:bCs/>
          <w:color w:val="auto"/>
          <w:sz w:val="22"/>
          <w:szCs w:val="22"/>
        </w:rPr>
        <w:t>.</w:t>
      </w:r>
      <w:r>
        <w:br w:type="page"/>
      </w:r>
    </w:p>
    <w:p>
      <w:pPr>
        <w:pStyle w:val="Default"/>
        <w:rPr>
          <w:color w:val="auto"/>
          <w:sz w:val="22"/>
          <w:szCs w:val="22"/>
        </w:rPr>
      </w:pPr>
      <w:r>
        <w:rPr>
          <w:b/>
          <w:bCs/>
          <w:color w:val="auto"/>
          <w:sz w:val="22"/>
          <w:szCs w:val="22"/>
        </w:rPr>
        <w:t xml:space="preserve">technologia </w:t>
      </w:r>
    </w:p>
    <w:p>
      <w:pPr>
        <w:pStyle w:val="Standard"/>
        <w:keepNext w:val="true"/>
        <w:tabs>
          <w:tab w:val="clear" w:pos="708"/>
          <w:tab w:val="left" w:pos="2160" w:leader="none"/>
        </w:tabs>
        <w:spacing w:before="240" w:after="60"/>
        <w:jc w:val="both"/>
        <w:rPr>
          <w:sz w:val="22"/>
          <w:szCs w:val="22"/>
        </w:rPr>
      </w:pPr>
      <w:r>
        <w:rPr>
          <w:sz w:val="22"/>
          <w:szCs w:val="22"/>
        </w:rPr>
        <w:t xml:space="preserve">           </w:t>
      </w:r>
      <w:r>
        <w:rPr>
          <w:sz w:val="22"/>
          <w:szCs w:val="22"/>
        </w:rPr>
        <w:t>Ściany wydzielające lokal, pozostają w stanie istniejącym (poza zakresem opracowania).</w:t>
      </w:r>
      <w:r>
        <w:rPr/>
        <w:t xml:space="preserve"> </w:t>
      </w:r>
      <w:r>
        <w:rPr>
          <w:sz w:val="22"/>
          <w:szCs w:val="22"/>
        </w:rPr>
        <w:t>W obrębie dostępnej powierzchni w pomieszczeniu sali sprzedaży, przewiduje się wykonanie przedścianek, dostawianych jako druga warstwa ściany do ścian wydzielających lokal. Przedścianki i ścianki działowe GK o grubości 7,5-13,75cm (wykonane na konstrukcji systemowej z profili odpowiedniej szerokości – 75 lub 100 mm), pełne, o wysokości odpowiednio 320/-900 cm od poziomu wykończonej posadzki (płytowanie do wys. 320cm/900cm).</w:t>
      </w:r>
      <w:r>
        <w:rPr/>
        <w:t xml:space="preserve"> </w:t>
      </w:r>
      <w:r>
        <w:rPr>
          <w:sz w:val="22"/>
          <w:szCs w:val="22"/>
        </w:rPr>
        <w:t>Konstrukcja z profili stalowych będzie opłytowana obustronnie lub jednostronnie w zależności od potrzeb – zgodnie z technologią płytami GK gr. 12,5 mm. Ściany GK muszą być wzmocnione płytami np. Duripanel lub OSB zaimpregnowanymi preparatem ogniochronnym, do uzyskania klasy trudnozapalności w miejscach styku z meblami, lub poprzez montowane nawierzchniowo paski wzmacniające.</w:t>
      </w:r>
    </w:p>
    <w:p>
      <w:pPr>
        <w:pStyle w:val="Normal"/>
        <w:tabs>
          <w:tab w:val="clear" w:pos="708"/>
          <w:tab w:val="left" w:pos="2160" w:leader="none"/>
        </w:tabs>
        <w:spacing w:before="240" w:after="60"/>
        <w:jc w:val="both"/>
        <w:rPr>
          <w:rFonts w:ascii="Arial" w:hAnsi="Arial" w:eastAsia="Times New Roman" w:cs="Arial"/>
          <w:b/>
          <w:sz w:val="22"/>
          <w:szCs w:val="22"/>
        </w:rPr>
      </w:pPr>
      <w:r>
        <w:rPr>
          <w:rFonts w:eastAsia="Times New Roman" w:cs="Arial" w:ascii="Arial" w:hAnsi="Arial"/>
          <w:sz w:val="22"/>
          <w:szCs w:val="22"/>
        </w:rPr>
        <w:t>Mocowania, konstrukcja i ewentualne dylatacje ścian winny być wykonane zgodnie z technologią dostawcy systemu zabudów gipsowych (np. firmy Lafarge system NIDA, lub równoważny) i dostawcy systemów łącznikowych, specyfiką obiektu oraz wiedzą techniczną.</w:t>
      </w:r>
    </w:p>
    <w:p>
      <w:pPr>
        <w:pStyle w:val="Default"/>
        <w:rPr>
          <w:color w:val="auto"/>
          <w:sz w:val="22"/>
          <w:szCs w:val="22"/>
        </w:rPr>
      </w:pPr>
      <w:r>
        <w:rPr>
          <w:color w:val="auto"/>
          <w:sz w:val="22"/>
          <w:szCs w:val="22"/>
        </w:rPr>
      </w:r>
    </w:p>
    <w:p>
      <w:pPr>
        <w:pStyle w:val="Default"/>
        <w:numPr>
          <w:ilvl w:val="0"/>
          <w:numId w:val="2"/>
        </w:numPr>
        <w:rPr>
          <w:color w:val="auto"/>
          <w:sz w:val="22"/>
          <w:szCs w:val="22"/>
        </w:rPr>
      </w:pPr>
      <w:r>
        <w:rPr>
          <w:b/>
          <w:bCs/>
          <w:color w:val="auto"/>
          <w:sz w:val="22"/>
          <w:szCs w:val="22"/>
        </w:rPr>
        <w:t xml:space="preserve">izolacja akustyczna </w:t>
      </w:r>
    </w:p>
    <w:p>
      <w:pPr>
        <w:pStyle w:val="Default"/>
        <w:rPr>
          <w:color w:val="auto"/>
          <w:sz w:val="22"/>
          <w:szCs w:val="22"/>
        </w:rPr>
      </w:pPr>
      <w:r>
        <w:rPr>
          <w:color w:val="auto"/>
          <w:sz w:val="22"/>
          <w:szCs w:val="22"/>
        </w:rPr>
        <w:t xml:space="preserve"> </w:t>
      </w:r>
      <w:r>
        <w:rPr>
          <w:color w:val="auto"/>
          <w:sz w:val="22"/>
          <w:szCs w:val="22"/>
        </w:rPr>
        <w:tab/>
        <w:t>Izolacja akustyczna ścian działowych GK wykonana z wełny mineralnej zgodnie z dostawcą systemu i zasadami sztuki budowlanej.</w:t>
      </w:r>
    </w:p>
    <w:p>
      <w:pPr>
        <w:pStyle w:val="Default"/>
        <w:numPr>
          <w:ilvl w:val="0"/>
          <w:numId w:val="3"/>
        </w:numPr>
        <w:rPr>
          <w:color w:val="auto"/>
          <w:sz w:val="22"/>
          <w:szCs w:val="22"/>
        </w:rPr>
      </w:pPr>
      <w:r>
        <w:rPr>
          <w:color w:val="auto"/>
          <w:sz w:val="22"/>
          <w:szCs w:val="22"/>
        </w:rPr>
      </w:r>
    </w:p>
    <w:p>
      <w:pPr>
        <w:pStyle w:val="Default"/>
        <w:numPr>
          <w:ilvl w:val="0"/>
          <w:numId w:val="3"/>
        </w:numPr>
        <w:rPr>
          <w:color w:val="auto"/>
          <w:sz w:val="22"/>
          <w:szCs w:val="22"/>
        </w:rPr>
      </w:pPr>
      <w:r>
        <w:rPr>
          <w:b/>
          <w:bCs/>
          <w:color w:val="auto"/>
          <w:sz w:val="22"/>
          <w:szCs w:val="22"/>
        </w:rPr>
        <w:t xml:space="preserve">wzmocnienia </w:t>
      </w:r>
    </w:p>
    <w:p>
      <w:pPr>
        <w:pStyle w:val="Default"/>
        <w:jc w:val="both"/>
        <w:rPr>
          <w:color w:val="auto"/>
          <w:sz w:val="22"/>
          <w:szCs w:val="22"/>
        </w:rPr>
      </w:pPr>
      <w:r>
        <w:rPr>
          <w:color w:val="auto"/>
          <w:sz w:val="22"/>
          <w:szCs w:val="22"/>
        </w:rPr>
        <w:t xml:space="preserve"> </w:t>
      </w:r>
      <w:r>
        <w:rPr>
          <w:color w:val="auto"/>
          <w:sz w:val="22"/>
          <w:szCs w:val="22"/>
        </w:rPr>
        <w:tab/>
        <w:t>Wszystkie ścianki działowe lub zabudowy winny być wyposażone we wzmocnienia z płyty typu Duripanel lub OSB trudnozapalnej – miejscowo) dla montażu mebli przyściennych (tzn. płyty ukryte wykonane ze sztywnego materiału pochodzenia drzewnego, jak płyta Duripanel lub OSB 12mm lub inny materiał spełniający wymagane cechy trudnozapalności; materiał musi być zastosowany zgodnie z warunkami technicznymi określonymi przez producenta). W przypadku ścian stanowiących tylko element aranżacji wnętrz palne elementy muszą być doprowadzone co najmniej do stanu trudno zapalności z uwzględnieniem, wymaganych w tych wypadkach klas reakcji na ogień; w przypadku ścian wydzielających poszczególne pomieszczenia muszą one posiadać cechę nierozprzestrzeniania ognia.</w:t>
      </w:r>
    </w:p>
    <w:p>
      <w:pPr>
        <w:pStyle w:val="Default"/>
        <w:jc w:val="both"/>
        <w:rPr>
          <w:color w:val="auto"/>
          <w:sz w:val="22"/>
          <w:szCs w:val="22"/>
        </w:rPr>
      </w:pPr>
      <w:r>
        <w:rPr>
          <w:color w:val="auto"/>
          <w:sz w:val="22"/>
          <w:szCs w:val="22"/>
        </w:rPr>
        <w:tab/>
        <w:t xml:space="preserve">Na rysunku rzutu podstawowego oraz na kładach ścian opisano miejsca gdzie wzmocnienia z Duripanel mają być natynkowe (sala sprzedaży, za meblami na malowanych ścianach), oraz tam gdzie podtynkowe (przedścianki z tapetami, przymierzalnie). </w:t>
      </w:r>
    </w:p>
    <w:p>
      <w:pPr>
        <w:pStyle w:val="Default"/>
        <w:jc w:val="both"/>
        <w:rPr>
          <w:color w:val="auto"/>
          <w:sz w:val="22"/>
          <w:szCs w:val="22"/>
          <w:lang w:eastAsia="pl-PL"/>
        </w:rPr>
      </w:pPr>
      <w:r>
        <w:rPr>
          <w:color w:val="auto"/>
          <w:sz w:val="22"/>
          <w:szCs w:val="22"/>
        </w:rPr>
        <w:br/>
      </w:r>
      <w:r>
        <w:rPr>
          <w:b/>
          <w:bCs/>
          <w:color w:val="auto"/>
          <w:sz w:val="22"/>
          <w:szCs w:val="22"/>
          <w:lang w:eastAsia="pl-PL"/>
        </w:rPr>
        <w:t xml:space="preserve">malowanie </w:t>
      </w:r>
    </w:p>
    <w:p>
      <w:pPr>
        <w:pStyle w:val="Normal"/>
        <w:widowControl/>
        <w:suppressAutoHyphens w:val="false"/>
        <w:textAlignment w:val="auto"/>
        <w:rPr>
          <w:rFonts w:ascii="Arial" w:hAnsi="Arial" w:cs="Arial"/>
          <w:sz w:val="22"/>
          <w:szCs w:val="22"/>
        </w:rPr>
      </w:pPr>
      <w:r>
        <w:rPr>
          <w:rFonts w:cs="Arial" w:ascii="Arial" w:hAnsi="Arial"/>
          <w:sz w:val="22"/>
          <w:szCs w:val="22"/>
        </w:rPr>
        <w:t xml:space="preserve">Malowanie wg standardu farbami Dulux lub równoważnymi. </w:t>
      </w:r>
    </w:p>
    <w:p>
      <w:pPr>
        <w:pStyle w:val="Normal"/>
        <w:widowControl/>
        <w:suppressAutoHyphens w:val="false"/>
        <w:textAlignment w:val="auto"/>
        <w:rPr>
          <w:rFonts w:ascii="Arial" w:hAnsi="Arial" w:cs="Arial"/>
          <w:sz w:val="22"/>
          <w:szCs w:val="22"/>
        </w:rPr>
      </w:pPr>
      <w:r>
        <w:rPr>
          <w:rFonts w:cs="Arial" w:ascii="Arial" w:hAnsi="Arial"/>
          <w:sz w:val="22"/>
          <w:szCs w:val="22"/>
        </w:rPr>
      </w:r>
    </w:p>
    <w:p>
      <w:pPr>
        <w:pStyle w:val="Normal"/>
        <w:widowControl/>
        <w:suppressAutoHyphens w:val="false"/>
        <w:textAlignment w:val="auto"/>
        <w:rPr>
          <w:rFonts w:ascii="Arial" w:hAnsi="Arial" w:cs="Arial"/>
          <w:sz w:val="22"/>
          <w:szCs w:val="22"/>
        </w:rPr>
      </w:pPr>
      <w:r>
        <w:rPr>
          <w:rFonts w:cs="Arial" w:ascii="Arial" w:hAnsi="Arial"/>
          <w:sz w:val="22"/>
          <w:szCs w:val="22"/>
        </w:rPr>
        <w:t xml:space="preserve">Sala sprzedaży - przedścianki i ścianki </w:t>
      </w:r>
      <w:r>
        <w:rPr>
          <w:rFonts w:cs="Arial" w:ascii="Arial" w:hAnsi="Arial"/>
          <w:b/>
          <w:bCs/>
          <w:sz w:val="22"/>
          <w:szCs w:val="22"/>
        </w:rPr>
        <w:t xml:space="preserve">malowane do stropodachu </w:t>
      </w:r>
      <w:r>
        <w:rPr>
          <w:rFonts w:cs="Arial" w:ascii="Arial" w:hAnsi="Arial"/>
          <w:sz w:val="22"/>
          <w:szCs w:val="22"/>
        </w:rPr>
        <w:t xml:space="preserve">szarą farbą lateksową zmywalną WARM LIGHT GREY MATT EMULSION - DULUX 44YY65/034. </w:t>
      </w:r>
    </w:p>
    <w:p>
      <w:pPr>
        <w:pStyle w:val="Normal"/>
        <w:widowControl/>
        <w:suppressAutoHyphens w:val="false"/>
        <w:textAlignment w:val="auto"/>
        <w:rPr>
          <w:rFonts w:ascii="Arial" w:hAnsi="Arial" w:cs="Arial"/>
          <w:sz w:val="22"/>
          <w:szCs w:val="22"/>
        </w:rPr>
      </w:pPr>
      <w:r>
        <w:rPr>
          <w:rFonts w:cs="Arial" w:ascii="Arial" w:hAnsi="Arial"/>
          <w:sz w:val="22"/>
          <w:szCs w:val="22"/>
        </w:rPr>
      </w:r>
    </w:p>
    <w:p>
      <w:pPr>
        <w:pStyle w:val="Normal"/>
        <w:widowControl/>
        <w:suppressAutoHyphens w:val="false"/>
        <w:textAlignment w:val="auto"/>
        <w:rPr>
          <w:rFonts w:ascii="Arial" w:hAnsi="Arial" w:cs="Arial"/>
          <w:b/>
          <w:bCs/>
          <w:sz w:val="22"/>
          <w:szCs w:val="22"/>
        </w:rPr>
      </w:pPr>
      <w:r>
        <w:rPr>
          <w:rFonts w:cs="Arial" w:ascii="Arial" w:hAnsi="Arial"/>
          <w:sz w:val="22"/>
          <w:szCs w:val="22"/>
        </w:rPr>
        <w:t>Zaplecze i magazyn – ścianki malowane na biało do poziomu +320cm.</w:t>
        <w:br/>
        <w:t xml:space="preserve">Ściany wydzielające lokal malowane </w:t>
      </w:r>
      <w:r>
        <w:rPr>
          <w:rFonts w:cs="Arial" w:ascii="Arial" w:hAnsi="Arial"/>
          <w:b/>
          <w:bCs/>
          <w:sz w:val="22"/>
          <w:szCs w:val="22"/>
        </w:rPr>
        <w:t xml:space="preserve">na biało. </w:t>
      </w:r>
    </w:p>
    <w:p>
      <w:pPr>
        <w:pStyle w:val="Normal"/>
        <w:widowControl/>
        <w:suppressAutoHyphens w:val="false"/>
        <w:textAlignment w:val="auto"/>
        <w:rPr>
          <w:rFonts w:ascii="Arial" w:hAnsi="Arial" w:cs="Arial"/>
          <w:sz w:val="22"/>
          <w:szCs w:val="22"/>
        </w:rPr>
      </w:pPr>
      <w:r>
        <w:rPr>
          <w:rFonts w:cs="Arial" w:ascii="Arial" w:hAnsi="Arial"/>
          <w:sz w:val="22"/>
          <w:szCs w:val="22"/>
        </w:rPr>
        <w:t xml:space="preserve">Przymierzalnie – ścianki malowane beżową farbą lateksową zmywalną BARK BEIGE DULUX MATT EMULSION 45 YY 74/073 do poziomu +320cm od posadzki. </w:t>
      </w:r>
    </w:p>
    <w:p>
      <w:pPr>
        <w:pStyle w:val="Normal"/>
        <w:widowControl/>
        <w:suppressAutoHyphens w:val="false"/>
        <w:textAlignment w:val="auto"/>
        <w:rPr>
          <w:rFonts w:ascii="Arial" w:hAnsi="Arial" w:cs="Arial"/>
          <w:b/>
          <w:sz w:val="22"/>
          <w:szCs w:val="22"/>
        </w:rPr>
      </w:pPr>
      <w:r>
        <w:rPr>
          <w:rFonts w:cs="Arial" w:ascii="Arial" w:hAnsi="Arial"/>
          <w:b/>
          <w:sz w:val="22"/>
          <w:szCs w:val="22"/>
        </w:rPr>
      </w:r>
    </w:p>
    <w:p>
      <w:pPr>
        <w:pStyle w:val="Normal"/>
        <w:widowControl/>
        <w:suppressAutoHyphens w:val="false"/>
        <w:textAlignment w:val="auto"/>
        <w:rPr>
          <w:rFonts w:ascii="Arial" w:hAnsi="Arial" w:cs="Arial"/>
          <w:b/>
          <w:sz w:val="22"/>
          <w:szCs w:val="22"/>
        </w:rPr>
      </w:pPr>
      <w:r>
        <w:rPr>
          <w:rFonts w:cs="Arial" w:ascii="Arial" w:hAnsi="Arial"/>
          <w:b/>
          <w:sz w:val="22"/>
          <w:szCs w:val="22"/>
        </w:rPr>
        <w:t xml:space="preserve">Uwaga: Ostateczna kolorystyka malowania ścian w lokalu do potwierdzenia </w:t>
      </w:r>
    </w:p>
    <w:p>
      <w:pPr>
        <w:pStyle w:val="Normal"/>
        <w:widowControl/>
        <w:suppressAutoHyphens w:val="false"/>
        <w:textAlignment w:val="auto"/>
        <w:rPr>
          <w:rFonts w:ascii="Arial" w:hAnsi="Arial" w:cs="Arial"/>
          <w:b/>
          <w:sz w:val="22"/>
          <w:szCs w:val="22"/>
        </w:rPr>
      </w:pPr>
      <w:r>
        <w:rPr>
          <w:rFonts w:cs="Arial" w:ascii="Arial" w:hAnsi="Arial"/>
          <w:b/>
          <w:sz w:val="22"/>
          <w:szCs w:val="22"/>
        </w:rPr>
        <w:t>na etapie realizacji inwestycji.</w:t>
      </w:r>
    </w:p>
    <w:p>
      <w:pPr>
        <w:pStyle w:val="Normal"/>
        <w:widowControl/>
        <w:suppressAutoHyphens w:val="false"/>
        <w:textAlignment w:val="auto"/>
        <w:rPr>
          <w:rFonts w:ascii="Arial" w:hAnsi="Arial" w:cs="Arial"/>
          <w:b/>
          <w:sz w:val="22"/>
          <w:szCs w:val="22"/>
        </w:rPr>
      </w:pPr>
      <w:r>
        <w:rPr>
          <w:rFonts w:cs="Arial" w:ascii="Arial" w:hAnsi="Arial"/>
          <w:b/>
          <w:sz w:val="22"/>
          <w:szCs w:val="22"/>
        </w:rPr>
      </w:r>
    </w:p>
    <w:p>
      <w:pPr>
        <w:pStyle w:val="Normal"/>
        <w:widowControl/>
        <w:suppressAutoHyphens w:val="false"/>
        <w:textAlignment w:val="auto"/>
        <w:rPr>
          <w:rFonts w:ascii="Arial" w:hAnsi="Arial" w:cs="Arial"/>
          <w:b/>
          <w:sz w:val="22"/>
          <w:szCs w:val="22"/>
        </w:rPr>
      </w:pPr>
      <w:r>
        <w:rPr>
          <w:rFonts w:cs="Arial" w:ascii="Arial" w:hAnsi="Arial"/>
          <w:b/>
          <w:sz w:val="22"/>
          <w:szCs w:val="22"/>
        </w:rPr>
      </w:r>
    </w:p>
    <w:p>
      <w:pPr>
        <w:pStyle w:val="Normal"/>
        <w:widowControl/>
        <w:numPr>
          <w:ilvl w:val="0"/>
          <w:numId w:val="4"/>
        </w:numPr>
        <w:suppressAutoHyphens w:val="false"/>
        <w:textAlignment w:val="auto"/>
        <w:rPr>
          <w:rFonts w:ascii="Arial" w:hAnsi="Arial" w:cs="Arial"/>
          <w:sz w:val="22"/>
          <w:szCs w:val="22"/>
        </w:rPr>
      </w:pPr>
      <w:r>
        <w:rPr>
          <w:rFonts w:cs="Arial" w:ascii="Arial" w:hAnsi="Arial"/>
          <w:b/>
          <w:bCs/>
          <w:sz w:val="22"/>
          <w:szCs w:val="22"/>
        </w:rPr>
        <w:t xml:space="preserve">cokoły </w:t>
      </w:r>
    </w:p>
    <w:p>
      <w:pPr>
        <w:pStyle w:val="Normal"/>
        <w:rPr>
          <w:rFonts w:ascii="Arial" w:hAnsi="Arial" w:cs="Arial"/>
          <w:sz w:val="22"/>
          <w:szCs w:val="22"/>
        </w:rPr>
      </w:pPr>
      <w:r>
        <w:rPr>
          <w:rFonts w:cs="Arial" w:ascii="Arial" w:hAnsi="Arial"/>
          <w:sz w:val="22"/>
          <w:szCs w:val="22"/>
        </w:rPr>
        <w:t xml:space="preserve"> </w:t>
      </w:r>
      <w:r>
        <w:rPr/>
        <w:tab/>
      </w:r>
      <w:r>
        <w:rPr>
          <w:rFonts w:cs="Arial" w:ascii="Arial" w:hAnsi="Arial"/>
          <w:sz w:val="22"/>
          <w:szCs w:val="22"/>
        </w:rPr>
        <w:t>Na zapleczu stosować cokoły PCV 10cm. Na sali sprzedaży oraz w strefie przymierzalni cokoły wykonane – wg standardu, listwy MDF w danym odcieniu, zgodnie z rysunkiem posadzki.</w:t>
      </w:r>
    </w:p>
    <w:p>
      <w:pPr>
        <w:pStyle w:val="Normal"/>
        <w:rPr>
          <w:rFonts w:ascii="Arial" w:hAnsi="Arial" w:cs="Arial"/>
          <w:sz w:val="22"/>
          <w:szCs w:val="22"/>
        </w:rPr>
      </w:pPr>
      <w:r>
        <w:rPr>
          <w:rFonts w:cs="Arial" w:ascii="Arial" w:hAnsi="Arial"/>
          <w:sz w:val="22"/>
          <w:szCs w:val="22"/>
        </w:rPr>
      </w:r>
    </w:p>
    <w:p>
      <w:pPr>
        <w:pStyle w:val="Normal"/>
        <w:rPr>
          <w:rFonts w:ascii="Arial" w:hAnsi="Arial" w:cs="Arial"/>
          <w:b/>
          <w:bCs/>
          <w:sz w:val="22"/>
          <w:szCs w:val="22"/>
        </w:rPr>
      </w:pPr>
      <w:r>
        <w:rPr>
          <w:rFonts w:cs="Arial" w:ascii="Arial" w:hAnsi="Arial"/>
          <w:b/>
          <w:bCs/>
          <w:sz w:val="22"/>
          <w:szCs w:val="22"/>
        </w:rPr>
        <w:t xml:space="preserve">Uwaga: Ściany wykonywać zgodnie z systemem dostawcy dla ścian gipsowo kartonowych np. RIGIPS, Knauff itp. rozstawy profili nośnych wg systemu i wymogów technologicznych ścianek. </w:t>
      </w:r>
    </w:p>
    <w:p>
      <w:pPr>
        <w:pStyle w:val="Normal"/>
        <w:rPr>
          <w:rFonts w:ascii="Arial" w:hAnsi="Arial" w:cs="Arial"/>
          <w:b/>
          <w:bCs/>
          <w:sz w:val="22"/>
          <w:szCs w:val="22"/>
        </w:rPr>
      </w:pPr>
      <w:r>
        <w:rPr>
          <w:rFonts w:cs="Arial" w:ascii="Arial" w:hAnsi="Arial"/>
          <w:b/>
          <w:bCs/>
          <w:sz w:val="22"/>
          <w:szCs w:val="22"/>
        </w:rPr>
      </w:r>
    </w:p>
    <w:p>
      <w:pPr>
        <w:pStyle w:val="Normal"/>
        <w:widowControl/>
        <w:numPr>
          <w:ilvl w:val="0"/>
          <w:numId w:val="5"/>
        </w:numPr>
        <w:suppressAutoHyphens w:val="false"/>
        <w:textAlignment w:val="auto"/>
        <w:rPr>
          <w:rFonts w:ascii="Arial" w:hAnsi="Arial" w:cs="Arial"/>
          <w:sz w:val="22"/>
          <w:szCs w:val="22"/>
        </w:rPr>
      </w:pPr>
      <w:r>
        <w:rPr>
          <w:rFonts w:cs="Arial" w:ascii="Arial" w:hAnsi="Arial"/>
          <w:b/>
          <w:bCs/>
          <w:sz w:val="22"/>
          <w:szCs w:val="22"/>
        </w:rPr>
        <w:t xml:space="preserve">ściany zaplecza </w:t>
      </w:r>
    </w:p>
    <w:p>
      <w:pPr>
        <w:pStyle w:val="Normal"/>
        <w:rPr>
          <w:rFonts w:ascii="Arial" w:hAnsi="Arial" w:cs="Arial"/>
          <w:sz w:val="22"/>
          <w:szCs w:val="22"/>
        </w:rPr>
      </w:pPr>
      <w:r>
        <w:rPr>
          <w:rFonts w:cs="Arial" w:ascii="Arial" w:hAnsi="Arial"/>
          <w:sz w:val="22"/>
          <w:szCs w:val="22"/>
        </w:rPr>
        <w:t xml:space="preserve">Ściana wydzielająca pomieszczenie zaplecza – wg rysunków architektury. </w:t>
      </w:r>
    </w:p>
    <w:p>
      <w:pPr>
        <w:pStyle w:val="Normal"/>
        <w:rPr>
          <w:rFonts w:ascii="Arial" w:hAnsi="Arial" w:cs="Arial"/>
          <w:sz w:val="22"/>
          <w:szCs w:val="22"/>
        </w:rPr>
      </w:pPr>
      <w:r>
        <w:rPr/>
        <w:br/>
      </w:r>
    </w:p>
    <w:p>
      <w:pPr>
        <w:pStyle w:val="Normal"/>
        <w:rPr>
          <w:rFonts w:ascii="Arial" w:hAnsi="Arial" w:cs="Arial"/>
          <w:b/>
          <w:bCs/>
          <w:sz w:val="22"/>
          <w:szCs w:val="22"/>
          <w:u w:val="single"/>
        </w:rPr>
      </w:pPr>
      <w:r>
        <w:rPr>
          <w:rFonts w:cs="Arial" w:ascii="Arial" w:hAnsi="Arial"/>
          <w:b/>
          <w:bCs/>
          <w:sz w:val="22"/>
          <w:szCs w:val="22"/>
          <w:u w:val="single"/>
        </w:rPr>
        <w:t>wykończenie tapetami winylowymi.</w:t>
      </w:r>
    </w:p>
    <w:p>
      <w:pPr>
        <w:pStyle w:val="Normal"/>
        <w:rPr>
          <w:rFonts w:ascii="Arial" w:hAnsi="Arial" w:cs="Arial"/>
          <w:sz w:val="22"/>
          <w:szCs w:val="22"/>
        </w:rPr>
      </w:pPr>
      <w:r>
        <w:rPr>
          <w:rFonts w:cs="Arial" w:ascii="Arial" w:hAnsi="Arial"/>
          <w:sz w:val="22"/>
          <w:szCs w:val="22"/>
        </w:rPr>
        <w:t>Wg rysunków architektury.</w:t>
      </w:r>
    </w:p>
    <w:p>
      <w:pPr>
        <w:pStyle w:val="Normal"/>
        <w:rPr>
          <w:rFonts w:ascii="Arial" w:hAnsi="Arial" w:cs="Arial"/>
          <w:sz w:val="22"/>
          <w:szCs w:val="22"/>
        </w:rPr>
      </w:pPr>
      <w:r>
        <w:rPr>
          <w:rFonts w:cs="Arial" w:ascii="Arial" w:hAnsi="Arial"/>
          <w:sz w:val="22"/>
          <w:szCs w:val="22"/>
        </w:rPr>
      </w:r>
    </w:p>
    <w:p>
      <w:pPr>
        <w:pStyle w:val="Standard"/>
        <w:keepNext w:val="true"/>
        <w:tabs>
          <w:tab w:val="clear" w:pos="708"/>
          <w:tab w:val="left" w:pos="2160" w:leader="none"/>
        </w:tabs>
        <w:spacing w:before="240" w:after="60"/>
        <w:rPr>
          <w:b/>
          <w:bCs/>
          <w:sz w:val="22"/>
          <w:szCs w:val="22"/>
        </w:rPr>
      </w:pPr>
      <w:r>
        <w:rPr>
          <w:b/>
          <w:bCs/>
          <w:sz w:val="22"/>
          <w:szCs w:val="22"/>
        </w:rPr>
        <w:t>2.2 Witryna - wejście</w:t>
      </w:r>
    </w:p>
    <w:p>
      <w:pPr>
        <w:pStyle w:val="WW-Default1"/>
        <w:tabs>
          <w:tab w:val="clear" w:pos="0"/>
          <w:tab w:val="left" w:pos="744" w:leader="none"/>
          <w:tab w:val="left" w:pos="1453" w:leader="none"/>
          <w:tab w:val="left" w:pos="2162" w:leader="none"/>
          <w:tab w:val="left" w:pos="2871" w:leader="none"/>
          <w:tab w:val="left" w:pos="3580" w:leader="none"/>
          <w:tab w:val="left" w:pos="4289" w:leader="none"/>
          <w:tab w:val="left" w:pos="4998" w:leader="none"/>
          <w:tab w:val="left" w:pos="5707" w:leader="none"/>
          <w:tab w:val="left" w:pos="6416" w:leader="none"/>
          <w:tab w:val="left" w:pos="7125" w:leader="none"/>
          <w:tab w:val="left" w:pos="7834" w:leader="none"/>
          <w:tab w:val="left" w:pos="8543" w:leader="none"/>
          <w:tab w:val="left" w:pos="9252" w:leader="none"/>
          <w:tab w:val="left" w:pos="9961" w:leader="none"/>
          <w:tab w:val="left" w:pos="10670" w:leader="none"/>
          <w:tab w:val="left" w:pos="11379" w:leader="none"/>
          <w:tab w:val="left" w:pos="12088" w:leader="none"/>
        </w:tabs>
        <w:rPr>
          <w:rFonts w:eastAsia="Times New Roman" w:cs="Times New Roman"/>
          <w:sz w:val="22"/>
          <w:szCs w:val="22"/>
          <w:lang w:val="pl-PL"/>
        </w:rPr>
      </w:pPr>
      <w:r>
        <w:rPr>
          <w:rFonts w:eastAsia="Times New Roman" w:cs="Times New Roman"/>
          <w:sz w:val="22"/>
          <w:szCs w:val="22"/>
          <w:lang w:val="pl-PL"/>
        </w:rPr>
      </w:r>
    </w:p>
    <w:p>
      <w:pPr>
        <w:pStyle w:val="Standard"/>
        <w:spacing w:lineRule="auto" w:line="259" w:before="0" w:after="60"/>
        <w:rPr>
          <w:sz w:val="22"/>
          <w:szCs w:val="22"/>
        </w:rPr>
      </w:pPr>
      <w:r>
        <w:rPr>
          <w:sz w:val="22"/>
          <w:szCs w:val="22"/>
        </w:rPr>
        <w:t>Standard ogólny – do pozostawienia bez zmian:</w:t>
      </w:r>
    </w:p>
    <w:p>
      <w:pPr>
        <w:pStyle w:val="Standard"/>
        <w:spacing w:lineRule="auto" w:line="259" w:before="0" w:after="60"/>
        <w:rPr>
          <w:sz w:val="22"/>
          <w:szCs w:val="22"/>
        </w:rPr>
      </w:pPr>
      <w:r>
        <w:rPr>
          <w:sz w:val="22"/>
          <w:szCs w:val="22"/>
        </w:rPr>
        <w:t xml:space="preserve">      </w:t>
      </w:r>
      <w:r>
        <w:rPr>
          <w:sz w:val="22"/>
          <w:szCs w:val="22"/>
        </w:rPr>
        <w:t>Wejścia do lokalu stanowią x2 systemowe drzwi dwuskrzydłowe, przeszklone; wkomponowane w elewację lokalu są również okna witrynowe (ściana kurtynowa). Układ ściany wejściowej oraz wyglądu elementów wejścia nie ulega zmianie. Jedno dodatkowe</w:t>
      </w:r>
      <w:r>
        <w:rPr>
          <w:sz w:val="22"/>
        </w:rPr>
        <w:t xml:space="preserve"> wyjście ewakuacyjne znajduje się w ścianie zewnętrznej od strony magazynu towaru.</w:t>
      </w:r>
    </w:p>
    <w:p>
      <w:pPr>
        <w:pStyle w:val="Normal"/>
        <w:jc w:val="both"/>
        <w:rPr/>
      </w:pPr>
      <w:r>
        <w:rPr>
          <w:sz w:val="22"/>
          <w:szCs w:val="22"/>
        </w:rPr>
        <w:t xml:space="preserve">   </w:t>
      </w:r>
      <w:r>
        <w:rPr>
          <w:rFonts w:eastAsia="Arial" w:cs="Arial" w:ascii="Arial" w:hAnsi="Arial"/>
          <w:sz w:val="22"/>
          <w:szCs w:val="22"/>
          <w:lang w:bidi="pl-PL"/>
        </w:rPr>
        <w:t xml:space="preserve">Nad wejściem do lokalu z zewnątrz, wyznaczono miejsce montażu logotypu. Planuje się montaż x1 logotypu, w formie kasetonu o wymiarach 2030x100 cm. Kaseton jednostronne, logotyp widoczny od frontu. Front kasetonu w kolorze zielonym RAL 6005 – niepodświetlony, a </w:t>
      </w:r>
      <w:r>
        <w:rPr>
          <w:rFonts w:eastAsia="Arial" w:cs="Arial" w:ascii="Arial" w:hAnsi="Arial"/>
          <w:b/>
          <w:bCs/>
          <w:sz w:val="22"/>
          <w:szCs w:val="22"/>
          <w:lang w:bidi="pl-PL"/>
        </w:rPr>
        <w:t>litery podświetlone</w:t>
      </w:r>
      <w:r>
        <w:rPr>
          <w:rFonts w:eastAsia="Arial" w:cs="Arial" w:ascii="Arial" w:hAnsi="Arial"/>
          <w:sz w:val="22"/>
          <w:szCs w:val="22"/>
          <w:lang w:bidi="pl-PL"/>
        </w:rPr>
        <w:t xml:space="preserve"> w kolorze biały mat. Spód kasetonów na około +400 cm od poziomu wejścia zewnętrznego do lokalu. Dodatkowo planuje się montaż logotypu na elewacji frontowej w wyznaczonym miejscu o wymiarach 285x100 cm oraz pylonie o wymiarach 400x140 cm. </w:t>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r>
    </w:p>
    <w:p>
      <w:pPr>
        <w:pStyle w:val="Normal"/>
        <w:jc w:val="both"/>
        <w:rPr>
          <w:rFonts w:ascii="Arial" w:hAnsi="Arial" w:cs="Arial"/>
          <w:b/>
          <w:bCs/>
          <w:sz w:val="22"/>
          <w:szCs w:val="22"/>
        </w:rPr>
      </w:pPr>
      <w:r>
        <w:rPr>
          <w:rFonts w:cs="Arial" w:ascii="Arial" w:hAnsi="Arial"/>
          <w:b/>
          <w:bCs/>
          <w:sz w:val="22"/>
          <w:szCs w:val="22"/>
        </w:rPr>
        <w:t>UWAGA!</w:t>
      </w:r>
    </w:p>
    <w:p>
      <w:pPr>
        <w:pStyle w:val="Standard"/>
        <w:keepNext w:val="true"/>
        <w:tabs>
          <w:tab w:val="clear" w:pos="708"/>
          <w:tab w:val="left" w:pos="2160" w:leader="none"/>
        </w:tabs>
        <w:spacing w:before="0" w:after="60"/>
        <w:jc w:val="both"/>
        <w:rPr>
          <w:b/>
          <w:bCs/>
          <w:sz w:val="22"/>
          <w:szCs w:val="22"/>
        </w:rPr>
      </w:pPr>
      <w:r>
        <w:rPr>
          <w:b/>
          <w:bCs/>
          <w:sz w:val="22"/>
          <w:szCs w:val="22"/>
        </w:rPr>
        <w:t>Ostateczny wygląd logotypów do weryfikacji na etapie wykonawczym!</w:t>
      </w:r>
    </w:p>
    <w:p>
      <w:pPr>
        <w:pStyle w:val="Standard"/>
        <w:keepNext w:val="true"/>
        <w:tabs>
          <w:tab w:val="clear" w:pos="708"/>
          <w:tab w:val="left" w:pos="2160" w:leader="none"/>
        </w:tabs>
        <w:spacing w:before="0" w:after="60"/>
        <w:jc w:val="both"/>
        <w:rPr>
          <w:sz w:val="22"/>
          <w:szCs w:val="22"/>
        </w:rPr>
      </w:pPr>
      <w:r>
        <w:rPr>
          <w:b/>
          <w:bCs/>
          <w:sz w:val="22"/>
          <w:szCs w:val="22"/>
        </w:rPr>
        <w:br/>
      </w:r>
      <w:r>
        <w:rPr>
          <w:i/>
          <w:iCs/>
          <w:sz w:val="22"/>
          <w:szCs w:val="22"/>
        </w:rPr>
        <w:t>Więcej informacji wg części rysunkowej.</w:t>
      </w:r>
    </w:p>
    <w:p>
      <w:pPr>
        <w:pStyle w:val="Standard"/>
        <w:tabs>
          <w:tab w:val="clear" w:pos="708"/>
          <w:tab w:val="left" w:pos="2160" w:leader="none"/>
        </w:tabs>
        <w:spacing w:before="0" w:after="60"/>
        <w:jc w:val="both"/>
        <w:rPr>
          <w:b/>
          <w:bCs/>
          <w:sz w:val="22"/>
          <w:szCs w:val="22"/>
        </w:rPr>
      </w:pPr>
      <w:r>
        <w:rPr>
          <w:i/>
          <w:iCs/>
          <w:sz w:val="22"/>
          <w:szCs w:val="22"/>
        </w:rPr>
        <w:t xml:space="preserve"> </w:t>
      </w:r>
    </w:p>
    <w:p>
      <w:pPr>
        <w:pStyle w:val="Standard"/>
        <w:tabs>
          <w:tab w:val="clear" w:pos="708"/>
          <w:tab w:val="left" w:pos="2160" w:leader="none"/>
        </w:tabs>
        <w:spacing w:before="0" w:after="60"/>
        <w:jc w:val="both"/>
        <w:rPr>
          <w:b/>
          <w:bCs/>
          <w:sz w:val="22"/>
          <w:szCs w:val="22"/>
        </w:rPr>
      </w:pPr>
      <w:r>
        <w:rPr>
          <w:b/>
          <w:bCs/>
          <w:sz w:val="22"/>
          <w:szCs w:val="22"/>
        </w:rPr>
        <w:t>2.3 Podłogi.</w:t>
      </w:r>
    </w:p>
    <w:p>
      <w:pPr>
        <w:pStyle w:val="Standard"/>
        <w:jc w:val="both"/>
        <w:rPr>
          <w:sz w:val="22"/>
          <w:szCs w:val="22"/>
        </w:rPr>
      </w:pPr>
      <w:r>
        <w:rPr>
          <w:sz w:val="22"/>
          <w:szCs w:val="22"/>
        </w:rPr>
        <w:t xml:space="preserve">    </w:t>
      </w:r>
    </w:p>
    <w:p>
      <w:pPr>
        <w:pStyle w:val="Standard"/>
        <w:jc w:val="both"/>
        <w:rPr>
          <w:sz w:val="22"/>
          <w:szCs w:val="22"/>
        </w:rPr>
      </w:pPr>
      <w:r>
        <w:rPr>
          <w:sz w:val="22"/>
          <w:szCs w:val="22"/>
        </w:rPr>
        <w:t xml:space="preserve">Planuje się montaż nowej posadzki na Sali sprzedaży oraz na zapleczu. </w:t>
      </w:r>
      <w:r>
        <w:rPr/>
        <w:br/>
      </w:r>
      <w:r>
        <w:rPr>
          <w:sz w:val="22"/>
          <w:szCs w:val="22"/>
        </w:rPr>
        <w:t>Na częściach dostępnych dla klientów przewiduje się posadzkę wykończoną płytkami winylowymi o fakturze i odcieniu imitującym powierzchnię z betonu architektonicznego lub gres (do weryfikacji)</w:t>
      </w:r>
    </w:p>
    <w:p>
      <w:pPr>
        <w:pStyle w:val="Standard"/>
        <w:jc w:val="both"/>
        <w:rPr>
          <w:sz w:val="22"/>
          <w:szCs w:val="22"/>
        </w:rPr>
      </w:pPr>
      <w:r>
        <w:rPr>
          <w:sz w:val="22"/>
          <w:szCs w:val="22"/>
        </w:rPr>
        <w:t>W pozostałych pomieszczeniach na zapleczu przewiduje się posadzkę wykończoną technicznymi płytkami winylowymi lub gres (do weryfikacji). W toalecie płytki winylowe lub gres (do weryfikacji).</w:t>
      </w:r>
    </w:p>
    <w:p>
      <w:pPr>
        <w:pStyle w:val="Standard"/>
        <w:jc w:val="both"/>
        <w:rPr>
          <w:sz w:val="22"/>
          <w:szCs w:val="22"/>
        </w:rPr>
      </w:pPr>
      <w:r>
        <w:rPr>
          <w:sz w:val="22"/>
          <w:szCs w:val="22"/>
        </w:rPr>
      </w:r>
    </w:p>
    <w:p>
      <w:pPr>
        <w:pStyle w:val="Standard"/>
        <w:jc w:val="both"/>
        <w:rPr>
          <w:sz w:val="22"/>
          <w:szCs w:val="22"/>
        </w:rPr>
      </w:pPr>
      <w:r>
        <w:rPr>
          <w:sz w:val="22"/>
          <w:szCs w:val="22"/>
        </w:rPr>
        <w:t>W wejściach głównych do lokalu projektuje się obiektowe wycieraczki wpuszczane w wylewkę posadzki – wycięcie w posadzce do wykonania.</w:t>
      </w:r>
    </w:p>
    <w:p>
      <w:pPr>
        <w:pStyle w:val="Standard"/>
        <w:jc w:val="both"/>
        <w:rPr>
          <w:i/>
          <w:i/>
          <w:sz w:val="22"/>
          <w:szCs w:val="22"/>
        </w:rPr>
      </w:pPr>
      <w:r>
        <w:rPr>
          <w:i/>
          <w:sz w:val="22"/>
          <w:szCs w:val="22"/>
        </w:rPr>
        <w:t>Więcej informacji wg części rysunkowej.</w:t>
      </w:r>
    </w:p>
    <w:p>
      <w:pPr>
        <w:pStyle w:val="Standard"/>
        <w:jc w:val="both"/>
        <w:rPr>
          <w:i/>
          <w:i/>
          <w:sz w:val="22"/>
          <w:szCs w:val="22"/>
        </w:rPr>
      </w:pPr>
      <w:r>
        <w:rPr>
          <w:i/>
          <w:sz w:val="22"/>
          <w:szCs w:val="22"/>
        </w:rPr>
      </w:r>
    </w:p>
    <w:p>
      <w:pPr>
        <w:pStyle w:val="Normal"/>
        <w:widowControl/>
        <w:suppressAutoHyphens w:val="false"/>
        <w:spacing w:lineRule="auto" w:line="360"/>
        <w:textAlignment w:val="auto"/>
        <w:rPr>
          <w:rFonts w:ascii="Arial" w:hAnsi="Arial" w:cs="Arial"/>
          <w:b/>
          <w:bCs/>
          <w:kern w:val="0"/>
          <w:sz w:val="22"/>
        </w:rPr>
      </w:pPr>
      <w:r>
        <w:rPr>
          <w:rFonts w:cs="Arial" w:ascii="Arial" w:hAnsi="Arial"/>
          <w:b/>
          <w:bCs/>
          <w:kern w:val="0"/>
          <w:sz w:val="22"/>
        </w:rPr>
        <w:t xml:space="preserve">UWAGA! </w:t>
      </w:r>
    </w:p>
    <w:p>
      <w:pPr>
        <w:pStyle w:val="Normal"/>
        <w:widowControl/>
        <w:suppressAutoHyphens w:val="false"/>
        <w:spacing w:lineRule="auto" w:line="360"/>
        <w:textAlignment w:val="auto"/>
        <w:rPr>
          <w:rFonts w:ascii="Arial" w:hAnsi="Arial" w:cs="Arial"/>
          <w:b/>
          <w:bCs/>
          <w:kern w:val="0"/>
          <w:sz w:val="22"/>
        </w:rPr>
      </w:pPr>
      <w:r>
        <w:rPr>
          <w:rFonts w:cs="Arial" w:ascii="Arial" w:hAnsi="Arial"/>
          <w:b/>
          <w:bCs/>
          <w:kern w:val="0"/>
        </w:rPr>
        <w:t>Wykończenie posadzki płytkami winylowymi z ew. odcięciem wilgoci lub gresem do weryfikacji z warunkami w lokalu (wilgotność warstw podłogi na gruncie oraz równość posadzki)!</w:t>
      </w:r>
    </w:p>
    <w:p>
      <w:pPr>
        <w:pStyle w:val="Standard"/>
        <w:keepNext w:val="true"/>
        <w:tabs>
          <w:tab w:val="clear" w:pos="708"/>
          <w:tab w:val="left" w:pos="2160" w:leader="none"/>
        </w:tabs>
        <w:spacing w:before="240" w:after="60"/>
        <w:jc w:val="both"/>
        <w:rPr>
          <w:b/>
          <w:bCs/>
          <w:sz w:val="22"/>
          <w:szCs w:val="22"/>
        </w:rPr>
      </w:pPr>
      <w:r>
        <w:rPr>
          <w:b/>
          <w:bCs/>
          <w:sz w:val="22"/>
          <w:szCs w:val="22"/>
        </w:rPr>
        <w:t>2.4 Sufity.</w:t>
      </w:r>
    </w:p>
    <w:p>
      <w:pPr>
        <w:pStyle w:val="Standard"/>
        <w:jc w:val="both"/>
        <w:rPr>
          <w:sz w:val="22"/>
          <w:szCs w:val="22"/>
        </w:rPr>
      </w:pPr>
      <w:r>
        <w:rPr>
          <w:sz w:val="22"/>
          <w:szCs w:val="22"/>
        </w:rPr>
      </w:r>
    </w:p>
    <w:p>
      <w:pPr>
        <w:pStyle w:val="Normal"/>
        <w:widowControl/>
        <w:suppressAutoHyphens w:val="false"/>
        <w:textAlignment w:val="auto"/>
        <w:rPr>
          <w:rFonts w:ascii="Arial" w:hAnsi="Arial" w:eastAsia="Arial" w:cs="Arial"/>
          <w:b/>
          <w:sz w:val="22"/>
          <w:szCs w:val="22"/>
          <w:lang w:bidi="pl-PL"/>
        </w:rPr>
      </w:pPr>
      <w:r>
        <w:rPr>
          <w:sz w:val="22"/>
          <w:szCs w:val="22"/>
        </w:rPr>
        <w:t xml:space="preserve"> </w:t>
      </w:r>
      <w:r>
        <w:rPr/>
        <w:tab/>
      </w:r>
      <w:r>
        <w:rPr>
          <w:rFonts w:eastAsia="Arial" w:cs="Arial" w:ascii="Arial" w:hAnsi="Arial"/>
          <w:sz w:val="22"/>
          <w:szCs w:val="22"/>
          <w:lang w:bidi="pl-PL"/>
        </w:rPr>
        <w:t>W WC na zapleczu projektuje się sufit systemowy Armstrong. W pozostałej części lokalu brak sufitów podwieszanych (odkryta konstrukcja stropodachu).</w:t>
      </w:r>
    </w:p>
    <w:p>
      <w:pPr>
        <w:pStyle w:val="Normal"/>
        <w:widowControl/>
        <w:suppressAutoHyphens w:val="false"/>
        <w:textAlignment w:val="auto"/>
        <w:rPr>
          <w:rFonts w:ascii="Arial" w:hAnsi="Arial" w:eastAsia="Arial" w:cs="Arial"/>
          <w:sz w:val="22"/>
          <w:szCs w:val="22"/>
          <w:lang w:bidi="pl-PL"/>
        </w:rPr>
      </w:pPr>
      <w:r>
        <w:rPr>
          <w:rFonts w:eastAsia="Arial" w:cs="Arial" w:ascii="Arial" w:hAnsi="Arial"/>
          <w:sz w:val="22"/>
          <w:szCs w:val="22"/>
          <w:lang w:bidi="pl-PL"/>
        </w:rPr>
      </w:r>
    </w:p>
    <w:p>
      <w:pPr>
        <w:pStyle w:val="Standard"/>
        <w:spacing w:lineRule="auto" w:line="276"/>
        <w:jc w:val="both"/>
        <w:rPr>
          <w:sz w:val="22"/>
          <w:szCs w:val="22"/>
        </w:rPr>
      </w:pPr>
      <w:r>
        <w:rPr>
          <w:sz w:val="22"/>
          <w:szCs w:val="22"/>
        </w:rPr>
        <w:t xml:space="preserve"> </w:t>
      </w:r>
      <w:r>
        <w:rPr/>
        <w:tab/>
      </w:r>
      <w:r>
        <w:rPr>
          <w:sz w:val="22"/>
          <w:szCs w:val="22"/>
        </w:rPr>
        <w:t xml:space="preserve">W przestrzeni sufitowej będą zamontowane lampy, nagłośnienie oraz kratki nawiewno-wywiewne instalacji wentylacyjno-grzewczej.  </w:t>
      </w:r>
    </w:p>
    <w:p>
      <w:pPr>
        <w:pStyle w:val="Standard"/>
        <w:spacing w:lineRule="auto" w:line="276"/>
        <w:jc w:val="both"/>
        <w:rPr>
          <w:sz w:val="22"/>
          <w:szCs w:val="22"/>
        </w:rPr>
      </w:pPr>
      <w:r>
        <w:rPr>
          <w:sz w:val="22"/>
          <w:szCs w:val="22"/>
        </w:rPr>
      </w:r>
    </w:p>
    <w:p>
      <w:pPr>
        <w:pStyle w:val="Standard"/>
        <w:spacing w:lineRule="auto" w:line="276"/>
        <w:jc w:val="both"/>
        <w:rPr>
          <w:b/>
          <w:bCs/>
          <w:sz w:val="22"/>
          <w:szCs w:val="22"/>
        </w:rPr>
      </w:pPr>
      <w:r>
        <w:rPr>
          <w:b/>
          <w:bCs/>
          <w:sz w:val="22"/>
          <w:szCs w:val="22"/>
        </w:rPr>
        <w:t>Uwaga!  Przed malowaniem sufitów konieczne jest dokonanie koniecznych napraw izolacji.</w:t>
      </w:r>
    </w:p>
    <w:p>
      <w:pPr>
        <w:pStyle w:val="Standard"/>
        <w:spacing w:lineRule="auto" w:line="276"/>
        <w:jc w:val="both"/>
        <w:rPr>
          <w:b/>
          <w:bCs/>
          <w:sz w:val="22"/>
          <w:szCs w:val="22"/>
        </w:rPr>
      </w:pPr>
      <w:r>
        <w:rPr>
          <w:b/>
          <w:bCs/>
          <w:sz w:val="22"/>
          <w:szCs w:val="22"/>
        </w:rPr>
      </w:r>
    </w:p>
    <w:p>
      <w:pPr>
        <w:pStyle w:val="Standard"/>
        <w:spacing w:lineRule="auto" w:line="276"/>
        <w:ind w:firstLine="708"/>
        <w:jc w:val="both"/>
        <w:rPr>
          <w:b/>
          <w:bCs/>
          <w:sz w:val="22"/>
          <w:szCs w:val="22"/>
        </w:rPr>
      </w:pPr>
      <w:r>
        <w:rPr>
          <w:b/>
          <w:bCs/>
          <w:sz w:val="22"/>
          <w:szCs w:val="22"/>
        </w:rPr>
        <w:t>Malowanie</w:t>
      </w:r>
    </w:p>
    <w:p>
      <w:pPr>
        <w:pStyle w:val="WW-Default"/>
        <w:tabs>
          <w:tab w:val="left" w:pos="0" w:leader="none"/>
          <w:tab w:val="left" w:pos="2520" w:leader="none"/>
        </w:tabs>
        <w:jc w:val="both"/>
        <w:rPr>
          <w:lang w:val="pl-PL"/>
        </w:rPr>
      </w:pPr>
      <w:r>
        <w:rPr>
          <w:rFonts w:eastAsia="Times New Roman"/>
          <w:b/>
          <w:bCs/>
          <w:sz w:val="22"/>
          <w:szCs w:val="22"/>
          <w:lang w:val="pl-PL"/>
        </w:rPr>
        <w:t>Malowanie na szaro blachotrapezu i instalacji (</w:t>
      </w:r>
      <w:r>
        <w:rPr>
          <w:rFonts w:eastAsia="Times New Roman"/>
          <w:b/>
          <w:bCs/>
          <w:sz w:val="22"/>
          <w:szCs w:val="22"/>
          <w:u w:val="single"/>
          <w:lang w:val="pl-PL"/>
        </w:rPr>
        <w:t>poza instalacjami ppoż.</w:t>
      </w:r>
      <w:r>
        <w:rPr>
          <w:rFonts w:eastAsia="Times New Roman"/>
          <w:b/>
          <w:bCs/>
          <w:sz w:val="22"/>
          <w:szCs w:val="22"/>
          <w:lang w:val="pl-PL"/>
        </w:rPr>
        <w:t>)</w:t>
      </w:r>
      <w:r>
        <w:rPr>
          <w:rFonts w:eastAsia="Times New Roman"/>
          <w:sz w:val="22"/>
          <w:szCs w:val="22"/>
          <w:lang w:val="pl-PL"/>
        </w:rPr>
        <w:t xml:space="preserve"> farbami Dulux lub równoważnymi – ilość warstw wg zaleceń producenta oraz wytycznych CH– minimum 2.</w:t>
      </w:r>
    </w:p>
    <w:p>
      <w:pPr>
        <w:pStyle w:val="WW-Default"/>
        <w:tabs>
          <w:tab w:val="left" w:pos="0" w:leader="none"/>
          <w:tab w:val="left" w:pos="2520" w:leader="none"/>
        </w:tabs>
        <w:jc w:val="both"/>
        <w:rPr>
          <w:rFonts w:eastAsia="Times New Roman"/>
          <w:sz w:val="22"/>
          <w:szCs w:val="22"/>
          <w:lang w:val="pl-PL"/>
        </w:rPr>
      </w:pPr>
      <w:r>
        <w:rPr>
          <w:rFonts w:eastAsia="Times New Roman"/>
          <w:sz w:val="22"/>
          <w:szCs w:val="22"/>
          <w:lang w:val="pl-PL"/>
        </w:rPr>
      </w:r>
    </w:p>
    <w:p>
      <w:pPr>
        <w:pStyle w:val="WW-Default"/>
        <w:tabs>
          <w:tab w:val="clear" w:pos="0"/>
          <w:tab w:val="left" w:pos="2520" w:leader="none"/>
        </w:tabs>
        <w:jc w:val="both"/>
        <w:rPr>
          <w:rFonts w:eastAsia="Times New Roman"/>
          <w:sz w:val="22"/>
          <w:szCs w:val="22"/>
          <w:lang w:val="pl-PL"/>
        </w:rPr>
      </w:pPr>
      <w:r>
        <w:rPr>
          <w:rFonts w:eastAsia="Times New Roman"/>
          <w:sz w:val="22"/>
          <w:szCs w:val="22"/>
          <w:lang w:val="pl-PL"/>
        </w:rPr>
        <w:t>Uwaga: Ostateczna kolorystyka malowania sufitów lokalu do potwierdzenia na etapie realizacji inwestycji.</w:t>
      </w:r>
    </w:p>
    <w:p>
      <w:pPr>
        <w:pStyle w:val="WW-Default"/>
        <w:tabs>
          <w:tab w:val="clear" w:pos="0"/>
          <w:tab w:val="left" w:pos="2520" w:leader="none"/>
        </w:tabs>
        <w:jc w:val="both"/>
        <w:rPr>
          <w:rFonts w:eastAsia="Times New Roman"/>
          <w:sz w:val="22"/>
          <w:szCs w:val="22"/>
          <w:lang w:val="pl-PL"/>
        </w:rPr>
      </w:pPr>
      <w:r>
        <w:rPr>
          <w:rFonts w:eastAsia="Times New Roman"/>
          <w:sz w:val="22"/>
          <w:szCs w:val="22"/>
          <w:lang w:val="pl-PL"/>
        </w:rPr>
      </w:r>
    </w:p>
    <w:p>
      <w:pPr>
        <w:pStyle w:val="WW-Default"/>
        <w:tabs>
          <w:tab w:val="clear" w:pos="0"/>
          <w:tab w:val="left" w:pos="2520" w:leader="none"/>
        </w:tabs>
        <w:jc w:val="both"/>
        <w:rPr>
          <w:rFonts w:eastAsia="Times New Roman"/>
          <w:sz w:val="22"/>
          <w:szCs w:val="22"/>
          <w:lang w:val="pl-PL"/>
        </w:rPr>
      </w:pPr>
      <w:r>
        <w:rPr>
          <w:rFonts w:eastAsia="Times New Roman"/>
          <w:sz w:val="22"/>
          <w:szCs w:val="22"/>
          <w:lang w:val="pl-PL"/>
        </w:rPr>
      </w:r>
    </w:p>
    <w:p>
      <w:pPr>
        <w:pStyle w:val="WW-Default"/>
        <w:tabs>
          <w:tab w:val="clear" w:pos="0"/>
          <w:tab w:val="left" w:pos="2520" w:leader="none"/>
        </w:tabs>
        <w:jc w:val="both"/>
        <w:rPr>
          <w:rFonts w:eastAsia="Times New Roman"/>
          <w:b/>
          <w:sz w:val="22"/>
          <w:szCs w:val="22"/>
          <w:lang w:val="pl-PL"/>
        </w:rPr>
      </w:pPr>
      <w:r>
        <w:rPr>
          <w:rFonts w:eastAsia="Times New Roman"/>
          <w:b/>
          <w:sz w:val="22"/>
          <w:szCs w:val="22"/>
          <w:lang w:val="pl-PL"/>
        </w:rPr>
      </w:r>
    </w:p>
    <w:p>
      <w:pPr>
        <w:pStyle w:val="WW-Default"/>
        <w:numPr>
          <w:ilvl w:val="0"/>
          <w:numId w:val="6"/>
        </w:numPr>
        <w:tabs>
          <w:tab w:val="clear" w:pos="0"/>
          <w:tab w:val="left" w:pos="720" w:leader="none"/>
          <w:tab w:val="left" w:pos="2160" w:leader="none"/>
        </w:tabs>
        <w:jc w:val="both"/>
        <w:rPr>
          <w:b/>
          <w:bCs/>
          <w:sz w:val="22"/>
          <w:szCs w:val="22"/>
          <w:lang w:val="pl-PL"/>
        </w:rPr>
      </w:pPr>
      <w:r>
        <w:rPr>
          <w:b/>
          <w:bCs/>
          <w:sz w:val="22"/>
          <w:szCs w:val="22"/>
          <w:lang w:val="pl-PL"/>
        </w:rPr>
        <w:t>Estetyka</w:t>
      </w:r>
    </w:p>
    <w:p>
      <w:pPr>
        <w:pStyle w:val="WW-Default"/>
        <w:tabs>
          <w:tab w:val="left" w:pos="0" w:leader="none"/>
          <w:tab w:val="left" w:pos="2520" w:leader="none"/>
        </w:tabs>
        <w:jc w:val="both"/>
        <w:rPr>
          <w:rFonts w:eastAsia="Times New Roman"/>
          <w:sz w:val="22"/>
          <w:szCs w:val="22"/>
          <w:lang w:val="pl-PL"/>
        </w:rPr>
      </w:pPr>
      <w:r>
        <w:rPr>
          <w:rFonts w:eastAsia="Times New Roman"/>
          <w:sz w:val="22"/>
          <w:szCs w:val="22"/>
          <w:lang w:val="pl-PL"/>
        </w:rPr>
        <w:t>Widoczne wyposażenie techniczne sufitu (tryskacze, czujniki, anemostaty, głośniki, klapy rewizyjne, itp.) winny być wykonane w sposób możliwie dyskretny i dostosowane do siatki oświetlenia i geometrii podziałów.</w:t>
      </w:r>
    </w:p>
    <w:p>
      <w:pPr>
        <w:pStyle w:val="WW-Default"/>
        <w:tabs>
          <w:tab w:val="left" w:pos="0" w:leader="none"/>
          <w:tab w:val="left" w:pos="2520" w:leader="none"/>
        </w:tabs>
        <w:jc w:val="both"/>
        <w:rPr>
          <w:rFonts w:eastAsia="Times New Roman"/>
          <w:sz w:val="22"/>
          <w:szCs w:val="22"/>
          <w:lang w:val="pl-PL"/>
        </w:rPr>
      </w:pPr>
      <w:r>
        <w:rPr>
          <w:rFonts w:eastAsia="Times New Roman"/>
          <w:sz w:val="22"/>
          <w:szCs w:val="22"/>
          <w:lang w:val="pl-PL"/>
        </w:rPr>
        <w:t xml:space="preserve"> </w:t>
      </w:r>
    </w:p>
    <w:p>
      <w:pPr>
        <w:pStyle w:val="WW-Default"/>
        <w:tabs>
          <w:tab w:val="left" w:pos="0" w:leader="none"/>
          <w:tab w:val="left" w:pos="2520" w:leader="none"/>
        </w:tabs>
        <w:jc w:val="both"/>
        <w:rPr>
          <w:b/>
          <w:bCs/>
          <w:sz w:val="22"/>
          <w:szCs w:val="22"/>
          <w:lang w:val="pl-PL"/>
        </w:rPr>
      </w:pPr>
      <w:r>
        <w:rPr>
          <w:sz w:val="22"/>
          <w:szCs w:val="22"/>
          <w:lang w:val="pl-PL"/>
        </w:rPr>
        <w:br/>
      </w:r>
      <w:r>
        <w:rPr>
          <w:b/>
          <w:bCs/>
          <w:sz w:val="22"/>
          <w:szCs w:val="22"/>
          <w:lang w:val="pl-PL"/>
        </w:rPr>
        <w:t>ZABRANIA SIĘ MONTOWANIA JAKICHKOLWIEK ELEMENTÓW NAJEMCY DO ELEMENTÓW KONSTRUKCYJNYCH CENTRUM. ELEMENTY PODWIESZANE POWINNY BYĆ MOCOWANE ZA POMOCĄ OBEJM DO BLACHY TRAPEZOWEJ, SUMARYCZNE OBCIĄŻENIE WSZYSTKICH ELEMENTÓW NAJEMCY NIE MOŻE PRZEKROCZYĆ 30kg/m2).</w:t>
      </w:r>
    </w:p>
    <w:p>
      <w:pPr>
        <w:pStyle w:val="WW-Default"/>
        <w:tabs>
          <w:tab w:val="left" w:pos="0" w:leader="none"/>
          <w:tab w:val="left" w:pos="2520" w:leader="none"/>
        </w:tabs>
        <w:jc w:val="both"/>
        <w:rPr>
          <w:b/>
          <w:bCs/>
          <w:sz w:val="22"/>
          <w:szCs w:val="22"/>
          <w:lang w:val="pl-PL"/>
        </w:rPr>
      </w:pPr>
      <w:r>
        <w:rPr>
          <w:b/>
          <w:bCs/>
          <w:sz w:val="22"/>
          <w:szCs w:val="22"/>
          <w:lang w:val="pl-PL"/>
        </w:rPr>
        <w:t xml:space="preserve"> </w:t>
      </w:r>
      <w:r>
        <w:rPr>
          <w:b/>
          <w:bCs/>
          <w:sz w:val="22"/>
          <w:szCs w:val="22"/>
          <w:lang w:val="pl-PL"/>
        </w:rPr>
        <w:tab/>
        <w:t xml:space="preserve"> </w:t>
      </w:r>
    </w:p>
    <w:p>
      <w:pPr>
        <w:pStyle w:val="Standard"/>
        <w:jc w:val="both"/>
        <w:rPr>
          <w:i/>
          <w:i/>
          <w:sz w:val="22"/>
          <w:szCs w:val="22"/>
        </w:rPr>
      </w:pPr>
      <w:r>
        <w:rPr>
          <w:i/>
          <w:sz w:val="22"/>
          <w:szCs w:val="22"/>
        </w:rPr>
        <w:t>Więcej informacji wg części rysunkowej.</w:t>
      </w:r>
      <w:r>
        <w:br w:type="page"/>
      </w:r>
    </w:p>
    <w:p>
      <w:pPr>
        <w:pStyle w:val="Standard"/>
        <w:jc w:val="both"/>
        <w:rPr>
          <w:b/>
          <w:bCs/>
          <w:sz w:val="22"/>
          <w:szCs w:val="22"/>
        </w:rPr>
      </w:pPr>
      <w:r>
        <w:rPr>
          <w:b/>
          <w:bCs/>
          <w:sz w:val="22"/>
          <w:szCs w:val="22"/>
        </w:rPr>
        <w:t>2.5 Kolorystyka i elementy wyposażenia wnętrz.</w:t>
      </w:r>
    </w:p>
    <w:p>
      <w:pPr>
        <w:pStyle w:val="Standard"/>
        <w:keepNext w:val="true"/>
        <w:tabs>
          <w:tab w:val="clear" w:pos="708"/>
          <w:tab w:val="left" w:pos="2160" w:leader="none"/>
        </w:tabs>
        <w:jc w:val="both"/>
        <w:rPr>
          <w:sz w:val="22"/>
          <w:szCs w:val="22"/>
        </w:rPr>
      </w:pPr>
      <w:r>
        <w:rPr>
          <w:b/>
          <w:bCs/>
          <w:sz w:val="22"/>
          <w:szCs w:val="22"/>
        </w:rPr>
        <w:t xml:space="preserve">-  </w:t>
      </w:r>
      <w:r>
        <w:rPr>
          <w:bCs/>
          <w:sz w:val="22"/>
          <w:szCs w:val="22"/>
        </w:rPr>
        <w:t>Wszystkie meble wykonywane wg odrębnego opracowania Inwestora</w:t>
      </w:r>
    </w:p>
    <w:p>
      <w:pPr>
        <w:pStyle w:val="Standard"/>
        <w:keepNext w:val="true"/>
        <w:tabs>
          <w:tab w:val="clear" w:pos="708"/>
          <w:tab w:val="left" w:pos="2160" w:leader="none"/>
        </w:tabs>
        <w:jc w:val="both"/>
        <w:rPr>
          <w:bCs/>
          <w:sz w:val="22"/>
          <w:szCs w:val="22"/>
        </w:rPr>
      </w:pPr>
      <w:r>
        <w:rPr>
          <w:bCs/>
          <w:sz w:val="22"/>
          <w:szCs w:val="22"/>
        </w:rPr>
        <w:t>-  System wewnętrznego podświetlenia mebli wg odrębnego opracowania Inwestora</w:t>
      </w:r>
    </w:p>
    <w:p>
      <w:pPr>
        <w:pStyle w:val="Standard"/>
        <w:keepNext w:val="true"/>
        <w:tabs>
          <w:tab w:val="clear" w:pos="708"/>
          <w:tab w:val="left" w:pos="2160" w:leader="none"/>
        </w:tabs>
        <w:jc w:val="both"/>
        <w:rPr>
          <w:b/>
          <w:bCs/>
          <w:sz w:val="22"/>
          <w:szCs w:val="22"/>
        </w:rPr>
      </w:pPr>
      <w:r>
        <w:rPr>
          <w:sz w:val="22"/>
          <w:szCs w:val="22"/>
        </w:rPr>
        <w:t>- Materiały mebli wg odrębnego opracowania Inwestora (załączone do projektu)</w:t>
      </w:r>
    </w:p>
    <w:p>
      <w:pPr>
        <w:pStyle w:val="Standard"/>
        <w:tabs>
          <w:tab w:val="clear" w:pos="708"/>
          <w:tab w:val="left" w:pos="2160" w:leader="none"/>
        </w:tabs>
        <w:jc w:val="both"/>
        <w:rPr>
          <w:b/>
          <w:bCs/>
          <w:sz w:val="22"/>
          <w:szCs w:val="22"/>
        </w:rPr>
      </w:pPr>
      <w:r>
        <w:rPr>
          <w:b/>
          <w:bCs/>
          <w:sz w:val="22"/>
          <w:szCs w:val="22"/>
        </w:rPr>
      </w:r>
    </w:p>
    <w:p>
      <w:pPr>
        <w:pStyle w:val="Standard"/>
        <w:tabs>
          <w:tab w:val="clear" w:pos="708"/>
          <w:tab w:val="left" w:pos="2160" w:leader="none"/>
        </w:tabs>
        <w:jc w:val="both"/>
        <w:rPr>
          <w:b/>
          <w:bCs/>
          <w:sz w:val="22"/>
          <w:szCs w:val="22"/>
        </w:rPr>
      </w:pPr>
      <w:r>
        <w:rPr>
          <w:rFonts w:eastAsia="Calibri" w:cs="Calibri"/>
          <w:b/>
          <w:bCs/>
          <w:sz w:val="22"/>
          <w:szCs w:val="22"/>
        </w:rPr>
        <w:t>W celu spełnienia wymagań operatu pożarowego dla obiektu CH, przewidywana maksymalna wysokość składowania towarów wynosi w przypadku tekstyliów do 2,6m, zaś w przypadku butów do 1,7m ponad posadzką.</w:t>
      </w:r>
    </w:p>
    <w:p>
      <w:pPr>
        <w:pStyle w:val="Standard"/>
        <w:keepNext w:val="true"/>
        <w:tabs>
          <w:tab w:val="clear" w:pos="708"/>
          <w:tab w:val="left" w:pos="2160" w:leader="none"/>
        </w:tabs>
        <w:jc w:val="both"/>
        <w:rPr>
          <w:b/>
          <w:bCs/>
          <w:sz w:val="22"/>
          <w:szCs w:val="22"/>
        </w:rPr>
      </w:pPr>
      <w:r>
        <w:rPr>
          <w:b/>
          <w:bCs/>
          <w:sz w:val="22"/>
          <w:szCs w:val="22"/>
        </w:rPr>
      </w:r>
    </w:p>
    <w:p>
      <w:pPr>
        <w:pStyle w:val="Standard"/>
        <w:keepNext w:val="true"/>
        <w:tabs>
          <w:tab w:val="clear" w:pos="708"/>
          <w:tab w:val="left" w:pos="2160" w:leader="none"/>
        </w:tabs>
        <w:jc w:val="both"/>
        <w:rPr>
          <w:bCs/>
          <w:sz w:val="22"/>
          <w:szCs w:val="22"/>
        </w:rPr>
      </w:pPr>
      <w:r>
        <w:rPr>
          <w:b/>
          <w:bCs/>
          <w:sz w:val="22"/>
          <w:szCs w:val="22"/>
        </w:rPr>
        <w:t xml:space="preserve"> </w:t>
      </w:r>
      <w:r>
        <w:rPr>
          <w:b/>
          <w:bCs/>
          <w:sz w:val="22"/>
          <w:szCs w:val="22"/>
        </w:rPr>
        <w:t>Wykończenie ścian wewnętrznych.</w:t>
      </w:r>
    </w:p>
    <w:p>
      <w:pPr>
        <w:pStyle w:val="Normal"/>
        <w:tabs>
          <w:tab w:val="clear" w:pos="708"/>
          <w:tab w:val="left" w:pos="2160" w:leader="none"/>
        </w:tabs>
        <w:spacing w:before="240" w:after="60"/>
        <w:jc w:val="both"/>
        <w:rPr>
          <w:rFonts w:ascii="Arial" w:hAnsi="Arial" w:eastAsia="Times New Roman" w:cs="Arial"/>
          <w:sz w:val="22"/>
          <w:szCs w:val="22"/>
        </w:rPr>
      </w:pPr>
      <w:r>
        <w:rPr>
          <w:rFonts w:eastAsia="Times New Roman" w:cs="Arial" w:ascii="Arial" w:hAnsi="Arial"/>
          <w:sz w:val="22"/>
          <w:szCs w:val="22"/>
        </w:rPr>
        <w:t xml:space="preserve">         </w:t>
      </w:r>
      <w:r>
        <w:rPr>
          <w:rFonts w:eastAsia="Times New Roman" w:cs="Arial" w:ascii="Arial" w:hAnsi="Arial"/>
          <w:sz w:val="22"/>
          <w:szCs w:val="22"/>
        </w:rPr>
        <w:t>Planuje się montaż mebli przyściennych systemowych (metalowe słupki, tzw. perymetry, spełniające cechy trudnozapalności). Przyścienne meble stanowią formę rusztu metalowego, do którego w różnych układach można montować wieszaki, półki itp. W niektórych miejscach ściany będą wykończone na gładko z malowaniem lub wyłożone tapetą winylową (np. fototapeta lasu lub ściętych pni) niekiedy z metalowymi drabinkami służącymi do mocowania półek itp. Na ścianie za kasą znajduje się logo.</w:t>
      </w:r>
    </w:p>
    <w:p>
      <w:pPr>
        <w:pStyle w:val="Normal"/>
        <w:tabs>
          <w:tab w:val="clear" w:pos="708"/>
          <w:tab w:val="left" w:pos="2160" w:leader="none"/>
        </w:tabs>
        <w:spacing w:before="240" w:after="60"/>
        <w:rPr>
          <w:rFonts w:ascii="Arial" w:hAnsi="Arial" w:eastAsia="Times New Roman" w:cs="Arial"/>
          <w:sz w:val="22"/>
          <w:szCs w:val="22"/>
        </w:rPr>
      </w:pPr>
      <w:r>
        <w:rPr>
          <w:rFonts w:eastAsia="Times New Roman" w:cs="Arial" w:ascii="Arial" w:hAnsi="Arial"/>
          <w:sz w:val="22"/>
          <w:szCs w:val="22"/>
        </w:rPr>
        <w:t xml:space="preserve">       </w:t>
      </w:r>
      <w:r>
        <w:rPr>
          <w:rFonts w:eastAsia="Times New Roman" w:cs="Arial" w:ascii="Arial" w:hAnsi="Arial"/>
          <w:sz w:val="22"/>
          <w:szCs w:val="22"/>
        </w:rPr>
        <w:t>Pozostałe meble w sali sprzedaży są wolnostojące a ich układ zapewnia odpowiednie przejścia dla ewakuacji, wyznaczone na rzucie aranżacji o szerokości 120cm.</w:t>
      </w:r>
      <w:r>
        <w:rPr/>
        <w:t xml:space="preserve"> </w:t>
      </w:r>
      <w:r>
        <w:rPr>
          <w:rFonts w:eastAsia="Times New Roman" w:cs="Arial" w:ascii="Arial" w:hAnsi="Arial"/>
          <w:sz w:val="22"/>
          <w:szCs w:val="22"/>
        </w:rPr>
        <w:t xml:space="preserve">Zabudowa meblowa wraz z wyposażeniem nie przekracza dopuszczalnego obciążenia na posadzkę.  </w:t>
      </w:r>
      <w:r>
        <w:rPr/>
        <w:br/>
      </w:r>
      <w:r>
        <w:rPr>
          <w:rFonts w:eastAsia="Times New Roman" w:cs="Arial" w:ascii="Arial" w:hAnsi="Arial"/>
          <w:sz w:val="22"/>
          <w:szCs w:val="22"/>
        </w:rPr>
        <w:t xml:space="preserve">       Stałe wyposażenie i wystrój tj. materiały i wyroby podlegają wymaganiom przepisów w zakresie spełnienia następujących cech: </w:t>
      </w:r>
    </w:p>
    <w:p>
      <w:pPr>
        <w:pStyle w:val="Normal"/>
        <w:tabs>
          <w:tab w:val="clear" w:pos="708"/>
          <w:tab w:val="left" w:pos="2160" w:leader="none"/>
        </w:tabs>
        <w:spacing w:before="240" w:after="60"/>
        <w:rPr>
          <w:rFonts w:ascii="Arial" w:hAnsi="Arial" w:cs="Arial"/>
          <w:kern w:val="0"/>
          <w:sz w:val="20"/>
          <w:szCs w:val="20"/>
        </w:rPr>
      </w:pPr>
      <w:r>
        <w:rPr>
          <w:rFonts w:eastAsia="Times New Roman" w:cs="Arial" w:ascii="Arial" w:hAnsi="Arial"/>
          <w:sz w:val="22"/>
          <w:szCs w:val="22"/>
        </w:rPr>
        <w:t xml:space="preserve">- co najmniej trudnozapalne oraz NRO; mogą być doprowadzone do trudno zapalności za pomocą preparatów ogniochronnych (np.Burnblock)  </w:t>
        <w:br/>
        <w:t xml:space="preserve">- produkty rozkładu termicznego (w wyniku pożaru) nie mogą być bardzo toksyczne </w:t>
        <w:br/>
        <w:t xml:space="preserve">   (potwierdzenie stosownymi atestami, aprobatami, raportami z badań); </w:t>
        <w:br/>
        <w:t xml:space="preserve">- produkty rozkładu termicznego j.w. nie mogą być intensywnie dymiące, a cecha ta </w:t>
        <w:br/>
        <w:t xml:space="preserve">   winna być potwierdzona stosownym dokumentem. </w:t>
        <w:br/>
        <w:t>- użyte materiały nie mogą zawierać azbestu, dwufenylu polichlorowanego (PCB, HCFC’s, CFC’s) i nie są źródłem lotnych składników organicznych (VOC).</w:t>
      </w:r>
    </w:p>
    <w:p>
      <w:pPr>
        <w:pStyle w:val="Normal"/>
        <w:tabs>
          <w:tab w:val="clear" w:pos="708"/>
          <w:tab w:val="left" w:pos="2160" w:leader="none"/>
        </w:tabs>
        <w:spacing w:before="240" w:after="60"/>
        <w:rPr>
          <w:rFonts w:ascii="Arial" w:hAnsi="Arial" w:cs="Arial"/>
          <w:kern w:val="0"/>
          <w:sz w:val="20"/>
          <w:szCs w:val="20"/>
        </w:rPr>
      </w:pPr>
      <w:r>
        <w:rPr>
          <w:rFonts w:eastAsia="Times New Roman" w:cs="Arial" w:ascii="Arial" w:hAnsi="Arial"/>
          <w:sz w:val="22"/>
          <w:szCs w:val="22"/>
        </w:rPr>
        <w:t xml:space="preserve">Odpowiednie dokumenty na zastosowane materiały i wyroby należy załączyć do projektu powykonawczego. </w:t>
      </w:r>
    </w:p>
    <w:p>
      <w:pPr>
        <w:pStyle w:val="Normal"/>
        <w:tabs>
          <w:tab w:val="clear" w:pos="708"/>
          <w:tab w:val="left" w:pos="2160" w:leader="none"/>
        </w:tabs>
        <w:spacing w:before="240" w:after="60"/>
        <w:rPr>
          <w:rFonts w:ascii="Arial" w:hAnsi="Arial" w:eastAsia="Times New Roman" w:cs="Arial"/>
          <w:sz w:val="22"/>
          <w:szCs w:val="22"/>
        </w:rPr>
      </w:pPr>
      <w:r>
        <w:rPr>
          <w:rFonts w:eastAsia="Times New Roman" w:cs="Arial" w:ascii="Arial" w:hAnsi="Arial"/>
          <w:sz w:val="22"/>
          <w:szCs w:val="22"/>
        </w:rPr>
        <w:t xml:space="preserve">UWAGA: Na powierzchni sali sprzedaży zabrania się lokalizowania nieestetycznych elementów tj. kartony na odzież, pudełka na obuwie, itp. Dopuszcza się składowanie produktów w opakowaniach w przeznaczonej do tego zabudowie osłaniającej na Sali sprzedaży. </w:t>
      </w:r>
    </w:p>
    <w:p>
      <w:pPr>
        <w:pStyle w:val="Standard"/>
        <w:keepNext w:val="true"/>
        <w:tabs>
          <w:tab w:val="clear" w:pos="708"/>
          <w:tab w:val="left" w:pos="2160" w:leader="none"/>
        </w:tabs>
        <w:rPr>
          <w:i/>
          <w:i/>
          <w:iCs/>
          <w:sz w:val="22"/>
          <w:szCs w:val="22"/>
        </w:rPr>
      </w:pPr>
      <w:r>
        <w:rPr>
          <w:i/>
          <w:iCs/>
          <w:sz w:val="22"/>
          <w:szCs w:val="22"/>
        </w:rPr>
      </w:r>
    </w:p>
    <w:p>
      <w:pPr>
        <w:pStyle w:val="Standard"/>
        <w:keepNext w:val="true"/>
        <w:tabs>
          <w:tab w:val="clear" w:pos="708"/>
          <w:tab w:val="left" w:pos="2160" w:leader="none"/>
        </w:tabs>
        <w:rPr>
          <w:i/>
          <w:i/>
          <w:iCs/>
          <w:sz w:val="22"/>
          <w:szCs w:val="22"/>
        </w:rPr>
      </w:pPr>
      <w:r>
        <w:rPr>
          <w:i/>
          <w:iCs/>
          <w:sz w:val="22"/>
          <w:szCs w:val="22"/>
        </w:rPr>
      </w:r>
    </w:p>
    <w:p>
      <w:pPr>
        <w:pStyle w:val="Standard"/>
        <w:keepNext w:val="true"/>
        <w:tabs>
          <w:tab w:val="clear" w:pos="708"/>
          <w:tab w:val="left" w:pos="2160" w:leader="none"/>
        </w:tabs>
        <w:rPr>
          <w:i/>
          <w:i/>
          <w:sz w:val="22"/>
          <w:szCs w:val="22"/>
        </w:rPr>
      </w:pPr>
      <w:r>
        <w:rPr>
          <w:i/>
          <w:iCs/>
          <w:sz w:val="22"/>
          <w:szCs w:val="22"/>
        </w:rPr>
        <w:t>Więcej informacji wg części rysunkowej.</w:t>
      </w:r>
    </w:p>
    <w:p>
      <w:pPr>
        <w:pStyle w:val="Standard"/>
        <w:keepNext w:val="true"/>
        <w:tabs>
          <w:tab w:val="clear" w:pos="708"/>
          <w:tab w:val="left" w:pos="2160" w:leader="none"/>
        </w:tabs>
        <w:rPr>
          <w:i/>
          <w:i/>
          <w:sz w:val="22"/>
          <w:szCs w:val="22"/>
        </w:rPr>
      </w:pPr>
      <w:r>
        <w:rPr>
          <w:i/>
          <w:sz w:val="22"/>
          <w:szCs w:val="22"/>
        </w:rPr>
      </w:r>
    </w:p>
    <w:p>
      <w:pPr>
        <w:pStyle w:val="Standard"/>
        <w:keepNext w:val="true"/>
        <w:tabs>
          <w:tab w:val="clear" w:pos="708"/>
          <w:tab w:val="left" w:pos="2160" w:leader="none"/>
        </w:tabs>
        <w:rPr>
          <w:bCs/>
          <w:sz w:val="22"/>
          <w:szCs w:val="22"/>
        </w:rPr>
      </w:pPr>
      <w:r>
        <w:rPr>
          <w:bCs/>
          <w:sz w:val="22"/>
          <w:szCs w:val="22"/>
        </w:rPr>
        <w:t>+</w:t>
      </w:r>
      <w:r>
        <w:br w:type="page"/>
      </w:r>
    </w:p>
    <w:p>
      <w:pPr>
        <w:pStyle w:val="Standard"/>
        <w:keepNext w:val="true"/>
        <w:tabs>
          <w:tab w:val="clear" w:pos="708"/>
          <w:tab w:val="left" w:pos="2160" w:leader="none"/>
        </w:tabs>
        <w:spacing w:before="0" w:after="60"/>
        <w:jc w:val="both"/>
        <w:rPr>
          <w:b/>
          <w:bCs/>
          <w:sz w:val="22"/>
          <w:szCs w:val="22"/>
        </w:rPr>
      </w:pPr>
      <w:r>
        <w:rPr>
          <w:b/>
          <w:bCs/>
          <w:sz w:val="22"/>
          <w:szCs w:val="22"/>
        </w:rPr>
        <w:t>2.6 Oświetlenie i instalacje elektryczne.</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br/>
        <w:t xml:space="preserve">         Nowe oświetlenie. Na etapie realizacji projektu, należy każdorazowo sprawdzić sprawność lamp, ich siłę natężenia, oraz wymienić źródła światła do spójnej barwy. </w:t>
      </w:r>
    </w:p>
    <w:p>
      <w:pPr>
        <w:pStyle w:val="Standard"/>
        <w:tabs>
          <w:tab w:val="clear" w:pos="708"/>
          <w:tab w:val="left" w:pos="2160" w:leader="none"/>
        </w:tabs>
        <w:spacing w:before="0" w:after="60"/>
        <w:jc w:val="both"/>
        <w:rPr>
          <w:sz w:val="22"/>
          <w:szCs w:val="22"/>
        </w:rPr>
      </w:pPr>
      <w:r>
        <w:rPr>
          <w:b/>
          <w:bCs/>
          <w:sz w:val="22"/>
          <w:szCs w:val="22"/>
        </w:rPr>
        <w:t xml:space="preserve">W całym lokalu koniecznie należy zastosować barwę oświetlenia 3000K (ciepłą). Należy zachować kolor opraw </w:t>
      </w:r>
      <w:r>
        <w:rPr>
          <w:b/>
          <w:bCs/>
          <w:sz w:val="22"/>
          <w:szCs w:val="22"/>
          <w:u w:val="single"/>
        </w:rPr>
        <w:t>czarny</w:t>
      </w:r>
      <w:r>
        <w:rPr>
          <w:b/>
          <w:bCs/>
          <w:sz w:val="22"/>
          <w:szCs w:val="22"/>
        </w:rPr>
        <w:t xml:space="preserve"> w miejscach otwartego sufitu. </w:t>
        <w:br/>
        <w:br/>
      </w:r>
      <w:r>
        <w:rPr>
          <w:sz w:val="22"/>
          <w:szCs w:val="22"/>
          <w:shd w:fill="FFFFFF" w:val="clear"/>
        </w:rPr>
        <w:t>Wysokości montażu opraw oświetleniowych:</w:t>
      </w:r>
    </w:p>
    <w:p>
      <w:pPr>
        <w:pStyle w:val="Standard"/>
        <w:tabs>
          <w:tab w:val="clear" w:pos="708"/>
          <w:tab w:val="left" w:pos="2160" w:leader="none"/>
        </w:tabs>
        <w:spacing w:before="0" w:after="60"/>
        <w:jc w:val="both"/>
        <w:rPr/>
      </w:pPr>
      <w:r>
        <w:rPr>
          <w:sz w:val="22"/>
          <w:szCs w:val="22"/>
        </w:rPr>
        <w:t>- Sala sprzedaży </w:t>
      </w:r>
      <w:r>
        <w:rPr>
          <w:bCs/>
          <w:sz w:val="22"/>
          <w:szCs w:val="22"/>
        </w:rPr>
        <w:t>– 340 cm szynoprzewody; 400cm highbay</w:t>
      </w:r>
    </w:p>
    <w:p>
      <w:pPr>
        <w:pStyle w:val="Standard"/>
        <w:keepNext w:val="true"/>
        <w:tabs>
          <w:tab w:val="clear" w:pos="708"/>
          <w:tab w:val="left" w:pos="2160" w:leader="none"/>
        </w:tabs>
        <w:spacing w:before="0" w:after="60"/>
        <w:jc w:val="both"/>
        <w:rPr/>
      </w:pPr>
      <w:r>
        <w:rPr>
          <w:bCs/>
          <w:sz w:val="22"/>
          <w:szCs w:val="22"/>
        </w:rPr>
        <w:t>- w strefie przymierzalni – 320cm </w:t>
      </w:r>
    </w:p>
    <w:p>
      <w:pPr>
        <w:pStyle w:val="Standard"/>
        <w:keepNext w:val="true"/>
        <w:tabs>
          <w:tab w:val="clear" w:pos="708"/>
          <w:tab w:val="left" w:pos="2160" w:leader="none"/>
        </w:tabs>
        <w:spacing w:before="0" w:after="60"/>
        <w:jc w:val="both"/>
        <w:rPr/>
      </w:pPr>
      <w:r>
        <w:rPr>
          <w:sz w:val="22"/>
          <w:szCs w:val="22"/>
        </w:rPr>
        <w:t>- w magazynie –</w:t>
      </w:r>
      <w:r>
        <w:rPr>
          <w:bCs/>
          <w:sz w:val="22"/>
          <w:szCs w:val="22"/>
        </w:rPr>
        <w:t> 340cm</w:t>
      </w:r>
    </w:p>
    <w:p>
      <w:pPr>
        <w:pStyle w:val="Standard"/>
        <w:tabs>
          <w:tab w:val="clear" w:pos="708"/>
          <w:tab w:val="left" w:pos="2160" w:leader="none"/>
        </w:tabs>
        <w:spacing w:before="0" w:after="60"/>
        <w:jc w:val="both"/>
        <w:rPr/>
      </w:pPr>
      <w:r>
        <w:rPr>
          <w:bCs/>
          <w:sz w:val="22"/>
          <w:szCs w:val="22"/>
        </w:rPr>
        <w:t>- w pom. zaplecza – 320cm </w:t>
      </w:r>
    </w:p>
    <w:p>
      <w:pPr>
        <w:pStyle w:val="Standard"/>
        <w:keepNext w:val="true"/>
        <w:tabs>
          <w:tab w:val="clear" w:pos="708"/>
          <w:tab w:val="left" w:pos="2160" w:leader="none"/>
        </w:tabs>
        <w:spacing w:before="0" w:after="60"/>
        <w:jc w:val="both"/>
        <w:rPr>
          <w:bCs/>
          <w:sz w:val="22"/>
          <w:szCs w:val="22"/>
        </w:rPr>
      </w:pPr>
      <w:r>
        <w:rPr>
          <w:bCs/>
          <w:sz w:val="22"/>
          <w:szCs w:val="22"/>
        </w:rPr>
        <w:br/>
        <w:t xml:space="preserve">    Nowoprojektowane oświetlenie awaryjne i ewakuacyjne będzie spełniać obowiązujące normy, zalecenia wytycznych pożarowych (obowiązujące piktogramy i właściwe kierunki ewakuacji) oraz posiadać w przypadku oświetlenia awaryjnego sprawną wymaganą ilość natężenia.</w:t>
      </w:r>
    </w:p>
    <w:p>
      <w:pPr>
        <w:pStyle w:val="Standard"/>
        <w:keepNext w:val="true"/>
        <w:tabs>
          <w:tab w:val="clear" w:pos="708"/>
          <w:tab w:val="left" w:pos="2160" w:leader="none"/>
        </w:tabs>
        <w:spacing w:before="0" w:after="60"/>
        <w:jc w:val="both"/>
        <w:rPr>
          <w:bCs/>
          <w:sz w:val="22"/>
          <w:szCs w:val="22"/>
          <w:u w:val="single"/>
        </w:rPr>
      </w:pPr>
      <w:r>
        <w:rPr>
          <w:bCs/>
          <w:sz w:val="22"/>
          <w:szCs w:val="22"/>
        </w:rPr>
        <w:t xml:space="preserve">    </w:t>
      </w:r>
      <w:r>
        <w:rPr>
          <w:bCs/>
          <w:sz w:val="22"/>
          <w:szCs w:val="22"/>
        </w:rPr>
        <w:t xml:space="preserve">Przewiduje się wykonanie nowych gniazd oraz wypustów elektrycznych dla mebli oraz wyposażenia sklepu. </w:t>
      </w:r>
    </w:p>
    <w:p>
      <w:pPr>
        <w:pStyle w:val="Standard"/>
        <w:keepNext w:val="true"/>
        <w:tabs>
          <w:tab w:val="clear" w:pos="708"/>
          <w:tab w:val="left" w:pos="2160" w:leader="none"/>
        </w:tabs>
        <w:spacing w:before="0" w:after="60"/>
        <w:jc w:val="both"/>
        <w:rPr>
          <w:bCs/>
          <w:sz w:val="22"/>
          <w:szCs w:val="22"/>
        </w:rPr>
      </w:pPr>
      <w:r>
        <w:rPr>
          <w:bCs/>
          <w:sz w:val="22"/>
          <w:szCs w:val="22"/>
        </w:rPr>
        <w:t xml:space="preserve">    </w:t>
      </w:r>
      <w:r>
        <w:rPr>
          <w:bCs/>
          <w:sz w:val="22"/>
          <w:szCs w:val="22"/>
        </w:rPr>
        <w:t xml:space="preserve">W lokalu przewiduje się montaż x1 nowej rozdzielni elektrycznej (w magazynie towaru). </w:t>
      </w:r>
    </w:p>
    <w:p>
      <w:pPr>
        <w:pStyle w:val="Standard"/>
        <w:keepNext w:val="true"/>
        <w:tabs>
          <w:tab w:val="clear" w:pos="708"/>
          <w:tab w:val="left" w:pos="2160" w:leader="none"/>
        </w:tabs>
        <w:jc w:val="both"/>
        <w:rPr>
          <w:i/>
          <w:i/>
          <w:iCs/>
          <w:sz w:val="22"/>
          <w:szCs w:val="22"/>
        </w:rPr>
      </w:pPr>
      <w:r>
        <w:rPr>
          <w:i/>
          <w:iCs/>
          <w:sz w:val="22"/>
          <w:szCs w:val="22"/>
        </w:rPr>
        <w:t xml:space="preserve">   </w:t>
      </w:r>
    </w:p>
    <w:p>
      <w:pPr>
        <w:pStyle w:val="Standard"/>
        <w:tabs>
          <w:tab w:val="clear" w:pos="708"/>
          <w:tab w:val="left" w:pos="2160" w:leader="none"/>
        </w:tabs>
        <w:jc w:val="both"/>
        <w:rPr>
          <w:i/>
          <w:i/>
          <w:iCs/>
          <w:sz w:val="22"/>
          <w:szCs w:val="22"/>
        </w:rPr>
      </w:pPr>
      <w:r>
        <w:rPr>
          <w:i/>
          <w:iCs/>
          <w:sz w:val="22"/>
          <w:szCs w:val="22"/>
          <w:shd w:fill="FFFFFF" w:val="clear"/>
        </w:rPr>
        <w:t>Więcej wg opracowania branżowego – instalacji elektrycznych.</w:t>
      </w:r>
    </w:p>
    <w:p>
      <w:pPr>
        <w:pStyle w:val="Standard"/>
        <w:tabs>
          <w:tab w:val="clear" w:pos="708"/>
          <w:tab w:val="left" w:pos="2160" w:leader="none"/>
        </w:tabs>
        <w:jc w:val="both"/>
        <w:rPr>
          <w:i/>
          <w:i/>
          <w:iCs/>
          <w:sz w:val="22"/>
          <w:szCs w:val="22"/>
        </w:rPr>
      </w:pPr>
      <w:r>
        <w:rPr/>
        <w:br/>
        <w:br/>
      </w:r>
      <w:r>
        <w:br w:type="page"/>
      </w:r>
    </w:p>
    <w:p>
      <w:pPr>
        <w:pStyle w:val="Standard"/>
        <w:tabs>
          <w:tab w:val="clear" w:pos="708"/>
          <w:tab w:val="left" w:pos="2160" w:leader="none"/>
        </w:tabs>
        <w:jc w:val="both"/>
        <w:rPr>
          <w:i/>
          <w:i/>
          <w:iCs/>
          <w:sz w:val="22"/>
          <w:szCs w:val="22"/>
        </w:rPr>
      </w:pPr>
      <w:r>
        <w:rPr>
          <w:b/>
          <w:bCs/>
          <w:sz w:val="22"/>
          <w:szCs w:val="22"/>
        </w:rPr>
        <w:t>2.7 Projektowane warunki użytkowe oraz ochrony przeciwpożarowej.</w:t>
        <w:br/>
      </w:r>
    </w:p>
    <w:p>
      <w:pPr>
        <w:pStyle w:val="Standard"/>
        <w:keepNext w:val="true"/>
        <w:tabs>
          <w:tab w:val="clear" w:pos="708"/>
          <w:tab w:val="left" w:pos="2160" w:leader="none"/>
        </w:tabs>
        <w:spacing w:before="0" w:after="60"/>
        <w:jc w:val="both"/>
        <w:rPr>
          <w:b/>
          <w:sz w:val="22"/>
          <w:szCs w:val="22"/>
        </w:rPr>
      </w:pPr>
      <w:r>
        <w:rPr>
          <w:b/>
          <w:sz w:val="22"/>
          <w:szCs w:val="22"/>
        </w:rPr>
        <w:t>2.7.1  Informacje o powierzchni, wysokości i liczbie kondygnacji</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t xml:space="preserve">Przeznaczenie obiektu: lokal usługowy o charakterze usługowo – handlowym w istniejącym obiekcie budowlanym. </w:t>
      </w:r>
    </w:p>
    <w:p>
      <w:pPr>
        <w:pStyle w:val="Standard"/>
        <w:tabs>
          <w:tab w:val="clear" w:pos="708"/>
          <w:tab w:val="left" w:pos="2160" w:leader="none"/>
        </w:tabs>
        <w:spacing w:before="0" w:after="60"/>
        <w:jc w:val="both"/>
        <w:rPr/>
      </w:pPr>
      <w:r>
        <w:rPr>
          <w:sz w:val="22"/>
          <w:szCs w:val="22"/>
        </w:rPr>
        <w:t xml:space="preserve">Powierzchnia użytkowa: </w:t>
      </w:r>
      <w:r>
        <w:rPr>
          <w:b/>
          <w:sz w:val="22"/>
          <w:szCs w:val="22"/>
        </w:rPr>
        <w:t xml:space="preserve">714,72 </w:t>
      </w:r>
      <w:r>
        <w:rPr>
          <w:b/>
          <w:bCs/>
          <w:sz w:val="22"/>
          <w:szCs w:val="22"/>
        </w:rPr>
        <w:t xml:space="preserve"> </w:t>
      </w:r>
      <w:r>
        <w:rPr>
          <w:sz w:val="22"/>
          <w:szCs w:val="22"/>
        </w:rPr>
        <w:t>m</w:t>
      </w:r>
      <w:r>
        <w:rPr>
          <w:position w:val="8"/>
          <w:sz w:val="22"/>
          <w:szCs w:val="22"/>
        </w:rPr>
        <w:t>2</w:t>
      </w:r>
      <w:r>
        <w:rPr>
          <w:sz w:val="22"/>
          <w:szCs w:val="22"/>
        </w:rPr>
        <w:t>.</w:t>
      </w:r>
    </w:p>
    <w:p>
      <w:pPr>
        <w:pStyle w:val="Standard"/>
        <w:tabs>
          <w:tab w:val="clear" w:pos="708"/>
          <w:tab w:val="left" w:pos="2160" w:leader="none"/>
        </w:tabs>
        <w:spacing w:before="0" w:after="60"/>
        <w:jc w:val="both"/>
        <w:rPr/>
      </w:pPr>
      <w:r>
        <w:rPr>
          <w:sz w:val="22"/>
          <w:szCs w:val="22"/>
        </w:rPr>
        <w:t>Wysokość w świetle posadzki i stropodachu ok. 830-900cm.</w:t>
      </w:r>
    </w:p>
    <w:p>
      <w:pPr>
        <w:pStyle w:val="Standard"/>
        <w:tabs>
          <w:tab w:val="clear" w:pos="708"/>
          <w:tab w:val="left" w:pos="2160" w:leader="none"/>
        </w:tabs>
        <w:spacing w:before="0" w:after="60"/>
        <w:jc w:val="both"/>
        <w:rPr/>
      </w:pPr>
      <w:r>
        <w:rPr>
          <w:sz w:val="22"/>
          <w:szCs w:val="22"/>
        </w:rPr>
        <w:t>Lokal jednokondygnacyjny.</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b/>
          <w:sz w:val="22"/>
          <w:szCs w:val="22"/>
        </w:rPr>
      </w:pPr>
      <w:r>
        <w:rPr>
          <w:b/>
          <w:sz w:val="22"/>
          <w:szCs w:val="22"/>
        </w:rPr>
      </w:r>
    </w:p>
    <w:p>
      <w:pPr>
        <w:pStyle w:val="Standard"/>
        <w:keepNext w:val="true"/>
        <w:tabs>
          <w:tab w:val="clear" w:pos="708"/>
          <w:tab w:val="left" w:pos="2160" w:leader="none"/>
        </w:tabs>
        <w:spacing w:before="0" w:after="60"/>
        <w:jc w:val="both"/>
        <w:rPr>
          <w:b/>
          <w:sz w:val="22"/>
          <w:szCs w:val="22"/>
        </w:rPr>
      </w:pPr>
      <w:r>
        <w:rPr>
          <w:b/>
          <w:sz w:val="22"/>
          <w:szCs w:val="22"/>
        </w:rPr>
        <w:t>2.7.2.</w:t>
      </w:r>
      <w:r>
        <w:rPr>
          <w:sz w:val="22"/>
          <w:szCs w:val="22"/>
        </w:rPr>
        <w:t xml:space="preserve"> </w:t>
      </w:r>
      <w:r>
        <w:rPr>
          <w:b/>
          <w:sz w:val="22"/>
          <w:szCs w:val="22"/>
        </w:rPr>
        <w:t>Charakterystyka zagrożenia pożarowego, w tym parametry pożarowe materiałów niebezpiecznych pożarowo</w:t>
      </w:r>
    </w:p>
    <w:p>
      <w:pPr>
        <w:pStyle w:val="Standard"/>
        <w:keepNext w:val="true"/>
        <w:tabs>
          <w:tab w:val="clear" w:pos="708"/>
          <w:tab w:val="left" w:pos="2160" w:leader="none"/>
        </w:tabs>
        <w:spacing w:before="0" w:after="60"/>
        <w:jc w:val="both"/>
        <w:rPr>
          <w:sz w:val="22"/>
          <w:szCs w:val="22"/>
        </w:rPr>
      </w:pPr>
      <w:r>
        <w:rPr>
          <w:sz w:val="22"/>
          <w:szCs w:val="22"/>
        </w:rPr>
        <w:tab/>
        <w:t>Poza standardowym wyposażeniem pomieszczeń użytkowych nie przewiduje się możliwości magazynowania materiałów niebezpiecznych pożarowo, takich jak np. materiały pirotechniczne, gazy, ciecze palne.</w:t>
      </w:r>
    </w:p>
    <w:p>
      <w:pPr>
        <w:pStyle w:val="Standard"/>
        <w:keepNext w:val="true"/>
        <w:tabs>
          <w:tab w:val="clear" w:pos="708"/>
          <w:tab w:val="left" w:pos="2160" w:leader="none"/>
        </w:tabs>
        <w:spacing w:before="0" w:after="60"/>
        <w:jc w:val="both"/>
        <w:rPr>
          <w:sz w:val="22"/>
          <w:szCs w:val="22"/>
        </w:rPr>
      </w:pPr>
      <w:r>
        <w:rPr>
          <w:sz w:val="22"/>
          <w:szCs w:val="22"/>
        </w:rPr>
        <w:tab/>
        <w:t>W obiekcie planuje się sprzedaż artykułów odzieżowych. Zaplecza sprzedaży pełnią funkcję pomieszczenia przygotowania towaru do sprzedaży i będą funkcjonalnie powiązane częścią sprzedażową.</w:t>
      </w:r>
    </w:p>
    <w:p>
      <w:pPr>
        <w:pStyle w:val="Standard"/>
        <w:keepNext w:val="true"/>
        <w:tabs>
          <w:tab w:val="clear" w:pos="708"/>
          <w:tab w:val="left" w:pos="2160" w:leader="none"/>
        </w:tabs>
        <w:spacing w:before="0" w:after="60"/>
        <w:jc w:val="both"/>
        <w:rPr>
          <w:b/>
          <w:sz w:val="22"/>
          <w:szCs w:val="22"/>
        </w:rPr>
      </w:pPr>
      <w:r>
        <w:rPr>
          <w:b/>
          <w:sz w:val="22"/>
          <w:szCs w:val="22"/>
        </w:rPr>
      </w:r>
    </w:p>
    <w:p>
      <w:pPr>
        <w:pStyle w:val="Standard"/>
        <w:keepNext w:val="true"/>
        <w:tabs>
          <w:tab w:val="clear" w:pos="708"/>
          <w:tab w:val="left" w:pos="2160" w:leader="none"/>
        </w:tabs>
        <w:spacing w:before="0" w:after="60"/>
        <w:jc w:val="both"/>
        <w:rPr>
          <w:b/>
          <w:sz w:val="22"/>
          <w:szCs w:val="22"/>
        </w:rPr>
      </w:pPr>
      <w:r>
        <w:rPr>
          <w:b/>
          <w:sz w:val="22"/>
          <w:szCs w:val="22"/>
        </w:rPr>
        <w:t>2.7.3. Kategoria zagrożenia ludzi oraz przewidywana liczba osób na każdej kondygnacji i w pomieszczeniach, których drzwi ewakuacyjne powinny otwierać się na zewnątrz pomieszczeń</w:t>
      </w:r>
    </w:p>
    <w:p>
      <w:pPr>
        <w:pStyle w:val="Standard"/>
        <w:tabs>
          <w:tab w:val="clear" w:pos="708"/>
          <w:tab w:val="left" w:pos="2160" w:leader="none"/>
        </w:tabs>
        <w:spacing w:before="0" w:after="60"/>
        <w:jc w:val="both"/>
        <w:rPr>
          <w:b/>
          <w:sz w:val="22"/>
          <w:szCs w:val="22"/>
        </w:rPr>
      </w:pPr>
      <w:r>
        <w:rPr>
          <w:b/>
          <w:sz w:val="22"/>
          <w:szCs w:val="22"/>
        </w:rPr>
        <w:tab/>
      </w:r>
      <w:r>
        <w:rPr>
          <w:sz w:val="22"/>
          <w:szCs w:val="22"/>
        </w:rPr>
        <w:t>Lokal zakwalifikowany jest do kategorii zagrożenia ludzi ZL I.</w:t>
      </w:r>
      <w:r>
        <w:rPr>
          <w:b/>
          <w:sz w:val="22"/>
          <w:szCs w:val="22"/>
        </w:rPr>
        <w:t xml:space="preserve"> </w:t>
      </w:r>
      <w:r>
        <w:rPr>
          <w:sz w:val="22"/>
          <w:szCs w:val="22"/>
        </w:rPr>
        <w:t>W pomieszczeniach lokalu przewiduje się maksymalne przebywanie 159 osób. Z sali sprzedaży projektuje się łącznie dwa wyjścia ewakuacyjne (oddalone od siebie o min. 5m) – dwa główne wejścia do lokalu od elewacji frontowej. Z zaplecza projektuje się jedno wyjście ewakuacyjne prowadzące przez magazyn towaru.</w:t>
      </w:r>
    </w:p>
    <w:p>
      <w:pPr>
        <w:pStyle w:val="Standard"/>
        <w:tabs>
          <w:tab w:val="clear" w:pos="708"/>
          <w:tab w:val="left" w:pos="2160" w:leader="none"/>
        </w:tabs>
        <w:spacing w:before="0" w:after="60"/>
        <w:jc w:val="both"/>
        <w:rPr>
          <w:b/>
          <w:sz w:val="22"/>
          <w:szCs w:val="22"/>
        </w:rPr>
      </w:pPr>
      <w:r>
        <w:rPr>
          <w:b/>
          <w:sz w:val="22"/>
          <w:szCs w:val="22"/>
        </w:rPr>
      </w:r>
    </w:p>
    <w:p>
      <w:pPr>
        <w:pStyle w:val="Standard"/>
        <w:tabs>
          <w:tab w:val="clear" w:pos="708"/>
          <w:tab w:val="left" w:pos="2160" w:leader="none"/>
        </w:tabs>
        <w:spacing w:before="0" w:after="60"/>
        <w:jc w:val="both"/>
        <w:rPr>
          <w:b/>
          <w:sz w:val="22"/>
          <w:szCs w:val="22"/>
        </w:rPr>
      </w:pPr>
      <w:r>
        <w:rPr>
          <w:b/>
          <w:sz w:val="22"/>
          <w:szCs w:val="22"/>
        </w:rPr>
        <w:t>2.7.4. Przewidywana gęstość obciążenia ogniowego</w:t>
      </w:r>
    </w:p>
    <w:p>
      <w:pPr>
        <w:pStyle w:val="Standard"/>
        <w:tabs>
          <w:tab w:val="clear" w:pos="708"/>
          <w:tab w:val="left" w:pos="2160" w:leader="none"/>
        </w:tabs>
        <w:spacing w:before="0" w:after="60"/>
        <w:jc w:val="both"/>
        <w:rPr>
          <w:b/>
          <w:sz w:val="22"/>
          <w:szCs w:val="22"/>
        </w:rPr>
      </w:pPr>
      <w:r>
        <w:rPr>
          <w:b/>
          <w:sz w:val="22"/>
          <w:szCs w:val="22"/>
        </w:rPr>
        <w:tab/>
      </w:r>
      <w:r>
        <w:rPr>
          <w:sz w:val="22"/>
          <w:szCs w:val="22"/>
        </w:rPr>
        <w:t>W strefie pożarowej ZL nie wyznacza się gęstości obciążenia ogniowego. W ramach aranżacji nie przewiduje się stref produkcyjno-magazynowych.</w:t>
      </w:r>
    </w:p>
    <w:p>
      <w:pPr>
        <w:pStyle w:val="Standard"/>
        <w:keepNext w:val="true"/>
        <w:tabs>
          <w:tab w:val="clear" w:pos="708"/>
          <w:tab w:val="left" w:pos="2160" w:leader="none"/>
        </w:tabs>
        <w:spacing w:before="0" w:after="60"/>
        <w:jc w:val="both"/>
        <w:rPr>
          <w:b/>
          <w:sz w:val="22"/>
          <w:szCs w:val="22"/>
        </w:rPr>
      </w:pPr>
      <w:r>
        <w:rPr>
          <w:b/>
          <w:sz w:val="22"/>
          <w:szCs w:val="22"/>
        </w:rPr>
      </w:r>
    </w:p>
    <w:p>
      <w:pPr>
        <w:pStyle w:val="Standard"/>
        <w:keepNext w:val="true"/>
        <w:tabs>
          <w:tab w:val="clear" w:pos="708"/>
          <w:tab w:val="left" w:pos="2160" w:leader="none"/>
        </w:tabs>
        <w:spacing w:before="0" w:after="60"/>
        <w:jc w:val="both"/>
        <w:rPr>
          <w:b/>
          <w:sz w:val="22"/>
          <w:szCs w:val="22"/>
        </w:rPr>
      </w:pPr>
      <w:r>
        <w:rPr>
          <w:b/>
          <w:sz w:val="22"/>
          <w:szCs w:val="22"/>
        </w:rPr>
        <w:t>2.7.5. Ocena zagrożenia wybuchem pomieszczeń oraz przestrzeni zewnętrznych</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t>Nie przewiduje się stref ani pomieszczeń zagrożonych wybuchem. Projektuje się całkowity zakaz używania i przechowywania materiałów niebezpiecznych pożarowo określonych w ROZPORZĄDZENIU MINISTRA SPRAW WEWNĘTRZNYCH I ADMINISTRACJI z dnia 7 czerwca 2010 r. w sprawie ochrony przeciwpożarowej budynków, innych obiektów budowlanych i terenów (Dz.U. z 2019 r., poz. 67 ze zmianami) tzn: materiałach niebezpiecznych pożarowo - należy przez to rozumieć:</w:t>
      </w:r>
    </w:p>
    <w:p>
      <w:pPr>
        <w:pStyle w:val="Standard"/>
        <w:keepNext w:val="true"/>
        <w:tabs>
          <w:tab w:val="clear" w:pos="708"/>
          <w:tab w:val="left" w:pos="2160" w:leader="none"/>
        </w:tabs>
        <w:spacing w:before="0" w:after="60"/>
        <w:jc w:val="both"/>
        <w:rPr>
          <w:sz w:val="22"/>
          <w:szCs w:val="22"/>
        </w:rPr>
      </w:pPr>
      <w:r>
        <w:rPr>
          <w:sz w:val="22"/>
          <w:szCs w:val="22"/>
        </w:rPr>
        <w:t>a) gazy palne,</w:t>
      </w:r>
    </w:p>
    <w:p>
      <w:pPr>
        <w:pStyle w:val="Standard"/>
        <w:keepNext w:val="true"/>
        <w:tabs>
          <w:tab w:val="clear" w:pos="708"/>
          <w:tab w:val="left" w:pos="2160" w:leader="none"/>
        </w:tabs>
        <w:spacing w:before="0" w:after="60"/>
        <w:jc w:val="both"/>
        <w:rPr>
          <w:sz w:val="22"/>
          <w:szCs w:val="22"/>
        </w:rPr>
      </w:pPr>
      <w:r>
        <w:rPr>
          <w:sz w:val="22"/>
          <w:szCs w:val="22"/>
        </w:rPr>
        <w:t>b) ciecze palne o temperaturze zapłonu poniżej 328,15 K (55 °C),</w:t>
      </w:r>
    </w:p>
    <w:p>
      <w:pPr>
        <w:pStyle w:val="Standard"/>
        <w:keepNext w:val="true"/>
        <w:tabs>
          <w:tab w:val="clear" w:pos="708"/>
          <w:tab w:val="left" w:pos="2160" w:leader="none"/>
        </w:tabs>
        <w:spacing w:before="0" w:after="60"/>
        <w:jc w:val="both"/>
        <w:rPr>
          <w:sz w:val="22"/>
          <w:szCs w:val="22"/>
        </w:rPr>
      </w:pPr>
      <w:r>
        <w:rPr>
          <w:sz w:val="22"/>
          <w:szCs w:val="22"/>
        </w:rPr>
        <w:t>c) materiały wytwarzające w zetknięciu z wodą gazy palne,</w:t>
      </w:r>
    </w:p>
    <w:p>
      <w:pPr>
        <w:pStyle w:val="Standard"/>
        <w:keepNext w:val="true"/>
        <w:tabs>
          <w:tab w:val="clear" w:pos="708"/>
          <w:tab w:val="left" w:pos="2160" w:leader="none"/>
        </w:tabs>
        <w:spacing w:before="0" w:after="60"/>
        <w:jc w:val="both"/>
        <w:rPr>
          <w:sz w:val="22"/>
          <w:szCs w:val="22"/>
        </w:rPr>
      </w:pPr>
      <w:r>
        <w:rPr>
          <w:sz w:val="22"/>
          <w:szCs w:val="22"/>
        </w:rPr>
        <w:t>d) materiały zapalające się samorzutnie na powietrzu,</w:t>
      </w:r>
    </w:p>
    <w:p>
      <w:pPr>
        <w:pStyle w:val="Standard"/>
        <w:keepNext w:val="true"/>
        <w:tabs>
          <w:tab w:val="clear" w:pos="708"/>
          <w:tab w:val="left" w:pos="2160" w:leader="none"/>
        </w:tabs>
        <w:spacing w:before="0" w:after="60"/>
        <w:jc w:val="both"/>
        <w:rPr>
          <w:sz w:val="22"/>
          <w:szCs w:val="22"/>
        </w:rPr>
      </w:pPr>
      <w:r>
        <w:rPr>
          <w:sz w:val="22"/>
          <w:szCs w:val="22"/>
        </w:rPr>
        <w:t>e) materiały wybuchowe i wyroby pirotechniczne,</w:t>
      </w:r>
    </w:p>
    <w:p>
      <w:pPr>
        <w:pStyle w:val="Standard"/>
        <w:keepNext w:val="true"/>
        <w:tabs>
          <w:tab w:val="clear" w:pos="708"/>
          <w:tab w:val="left" w:pos="2160" w:leader="none"/>
        </w:tabs>
        <w:spacing w:before="0" w:after="60"/>
        <w:jc w:val="both"/>
        <w:rPr>
          <w:sz w:val="22"/>
          <w:szCs w:val="22"/>
        </w:rPr>
      </w:pPr>
      <w:r>
        <w:rPr>
          <w:sz w:val="22"/>
          <w:szCs w:val="22"/>
        </w:rPr>
        <w:t>f) materiały ulegające samorzutnemu rozkładowi lub polimeryzacji,</w:t>
      </w:r>
    </w:p>
    <w:p>
      <w:pPr>
        <w:pStyle w:val="Standard"/>
        <w:keepNext w:val="true"/>
        <w:tabs>
          <w:tab w:val="clear" w:pos="708"/>
          <w:tab w:val="left" w:pos="2160" w:leader="none"/>
        </w:tabs>
        <w:spacing w:before="0" w:after="60"/>
        <w:jc w:val="both"/>
        <w:rPr>
          <w:sz w:val="22"/>
          <w:szCs w:val="22"/>
        </w:rPr>
      </w:pPr>
      <w:r>
        <w:rPr>
          <w:sz w:val="22"/>
          <w:szCs w:val="22"/>
        </w:rPr>
        <w:t>g) materiały mające skłonności do samozapalenia,</w:t>
      </w:r>
    </w:p>
    <w:p>
      <w:pPr>
        <w:pStyle w:val="Standard"/>
        <w:keepNext w:val="true"/>
        <w:tabs>
          <w:tab w:val="clear" w:pos="708"/>
          <w:tab w:val="left" w:pos="2160" w:leader="none"/>
        </w:tabs>
        <w:spacing w:before="0" w:after="60"/>
        <w:jc w:val="both"/>
        <w:rPr>
          <w:sz w:val="22"/>
          <w:szCs w:val="22"/>
        </w:rPr>
      </w:pPr>
      <w:r>
        <w:rPr>
          <w:sz w:val="22"/>
          <w:szCs w:val="22"/>
        </w:rPr>
        <w:t>h) materiały inne niż wymienione w lit. a -g, jeśli sposób ich składowania, przetwarzania lub innego</w:t>
      </w:r>
    </w:p>
    <w:p>
      <w:pPr>
        <w:pStyle w:val="Standard"/>
        <w:keepNext w:val="true"/>
        <w:tabs>
          <w:tab w:val="clear" w:pos="708"/>
          <w:tab w:val="left" w:pos="2160" w:leader="none"/>
        </w:tabs>
        <w:spacing w:before="0" w:after="60"/>
        <w:jc w:val="both"/>
        <w:rPr>
          <w:sz w:val="22"/>
          <w:szCs w:val="22"/>
        </w:rPr>
      </w:pPr>
      <w:r>
        <w:rPr>
          <w:sz w:val="22"/>
          <w:szCs w:val="22"/>
        </w:rPr>
        <w:t>wykorzystania może spowodować powstanie pożaru;</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sz w:val="22"/>
          <w:szCs w:val="22"/>
        </w:rPr>
      </w:pPr>
      <w:r>
        <w:rPr>
          <w:b/>
          <w:sz w:val="22"/>
          <w:szCs w:val="22"/>
        </w:rPr>
        <w:t>2.7.6. Klasa odporności pożarowej oraz klasa odporności ogniowej i stopień rozprzestrzeniania ognia</w:t>
      </w:r>
      <w:r>
        <w:rPr>
          <w:sz w:val="22"/>
          <w:szCs w:val="22"/>
        </w:rPr>
        <w:t xml:space="preserve"> </w:t>
      </w:r>
      <w:r>
        <w:rPr>
          <w:b/>
          <w:sz w:val="22"/>
          <w:szCs w:val="22"/>
        </w:rPr>
        <w:t>elementów budowlanych</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t>Brak zmian względem projektu budowalnego. Budynek w klasie „D” odporności pożarowej. Wszystkie elementy budowlane nie rozprzestrzeniają ognia – NRO.</w:t>
      </w:r>
    </w:p>
    <w:p>
      <w:pPr>
        <w:pStyle w:val="Standard"/>
        <w:tabs>
          <w:tab w:val="clear" w:pos="708"/>
          <w:tab w:val="left" w:pos="2160" w:leader="none"/>
        </w:tabs>
        <w:spacing w:before="0" w:after="60"/>
        <w:jc w:val="both"/>
        <w:rPr>
          <w:sz w:val="22"/>
          <w:szCs w:val="22"/>
        </w:rPr>
      </w:pPr>
      <w:r>
        <w:rPr>
          <w:sz w:val="22"/>
          <w:szCs w:val="22"/>
        </w:rPr>
      </w:r>
    </w:p>
    <w:p>
      <w:pPr>
        <w:pStyle w:val="Standard"/>
        <w:tabs>
          <w:tab w:val="clear" w:pos="708"/>
          <w:tab w:val="left" w:pos="2160" w:leader="none"/>
        </w:tabs>
        <w:spacing w:before="0" w:after="60"/>
        <w:jc w:val="both"/>
        <w:rPr>
          <w:sz w:val="22"/>
          <w:szCs w:val="22"/>
        </w:rPr>
      </w:pPr>
      <w:r>
        <w:rPr>
          <w:sz w:val="22"/>
          <w:szCs w:val="22"/>
        </w:rPr>
        <w:t>WYMAGANIA PRZECIWPOŻAROWE DLA ELEMENTÓW WYKOŃCZENIA WNĘTRZ I WYPOSAŻENIA STAŁEGO</w:t>
      </w:r>
    </w:p>
    <w:p>
      <w:pPr>
        <w:pStyle w:val="Standard"/>
        <w:tabs>
          <w:tab w:val="clear" w:pos="708"/>
          <w:tab w:val="left" w:pos="2160" w:leader="none"/>
        </w:tabs>
        <w:spacing w:before="0" w:after="60"/>
        <w:jc w:val="both"/>
        <w:rPr>
          <w:sz w:val="22"/>
          <w:szCs w:val="22"/>
        </w:rPr>
      </w:pPr>
      <w:r>
        <w:rPr>
          <w:sz w:val="22"/>
          <w:szCs w:val="22"/>
        </w:rPr>
      </w:r>
    </w:p>
    <w:p>
      <w:pPr>
        <w:pStyle w:val="Standard"/>
        <w:tabs>
          <w:tab w:val="clear" w:pos="708"/>
          <w:tab w:val="left" w:pos="2160" w:leader="none"/>
        </w:tabs>
        <w:spacing w:before="0" w:after="60"/>
        <w:jc w:val="both"/>
        <w:rPr>
          <w:sz w:val="22"/>
          <w:szCs w:val="22"/>
        </w:rPr>
      </w:pPr>
      <w:r>
        <w:rPr>
          <w:sz w:val="22"/>
          <w:szCs w:val="22"/>
        </w:rPr>
        <w:tab/>
        <w:t>Do wykończenia wnętrz stosowanie materiałów łatwo zapalnych, których produkty rozkładu termicznego są bardzo toksyczne lub intensywnie dymiące, jest zabronione. Na drogach komunikacji ogólnej, służących celom ewakuacji, nie zostaną zastosowane łatwo zapalne materiały i wyroby budowlane. Okładziny sufitów oraz sufity podwieszone będą wykonane z materiałów niepalnych lub niezapalnych, niekapiących i nieodpadających pod wpływem ognia.</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sz w:val="22"/>
          <w:szCs w:val="22"/>
        </w:rPr>
      </w:pPr>
      <w:r>
        <w:rPr>
          <w:sz w:val="22"/>
          <w:szCs w:val="22"/>
        </w:rPr>
        <w:t>W przypadku zastosowania podłóg podniesionych o więcej niż 0,2 m ponad poziom stropu lub innego podłoża należy zapewnić:</w:t>
      </w:r>
    </w:p>
    <w:p>
      <w:pPr>
        <w:pStyle w:val="Standard"/>
        <w:keepNext w:val="true"/>
        <w:tabs>
          <w:tab w:val="clear" w:pos="708"/>
          <w:tab w:val="left" w:pos="2160" w:leader="none"/>
        </w:tabs>
        <w:spacing w:before="0" w:after="60"/>
        <w:jc w:val="both"/>
        <w:rPr>
          <w:sz w:val="22"/>
          <w:szCs w:val="22"/>
        </w:rPr>
      </w:pPr>
      <w:r>
        <w:rPr>
          <w:sz w:val="22"/>
          <w:szCs w:val="22"/>
        </w:rPr>
        <w:t>1) niepalną konstrukcję nośną oraz co najmniej niezapalne płyty podłogi od strony przestrzeni podpodłogowej, mające klasę odporności ogniowej co najmniej REI30,</w:t>
      </w:r>
    </w:p>
    <w:p>
      <w:pPr>
        <w:pStyle w:val="Standard"/>
        <w:keepNext w:val="true"/>
        <w:tabs>
          <w:tab w:val="clear" w:pos="708"/>
          <w:tab w:val="left" w:pos="2160" w:leader="none"/>
        </w:tabs>
        <w:spacing w:before="0" w:after="60"/>
        <w:jc w:val="both"/>
        <w:rPr>
          <w:sz w:val="22"/>
          <w:szCs w:val="22"/>
        </w:rPr>
      </w:pPr>
      <w:r>
        <w:rPr>
          <w:sz w:val="22"/>
          <w:szCs w:val="22"/>
        </w:rPr>
        <w:t>2) przestrzeń podpodłogową podzieloną na sektory o powierzchni nie większej niż 1000 m2 przegrodami o klasie odporności ogniowej co najmniej EI30,</w:t>
      </w:r>
    </w:p>
    <w:p>
      <w:pPr>
        <w:pStyle w:val="Standard"/>
        <w:keepNext w:val="true"/>
        <w:tabs>
          <w:tab w:val="clear" w:pos="708"/>
          <w:tab w:val="left" w:pos="2160" w:leader="none"/>
        </w:tabs>
        <w:spacing w:before="0" w:after="60"/>
        <w:jc w:val="both"/>
        <w:rPr>
          <w:sz w:val="22"/>
          <w:szCs w:val="22"/>
        </w:rPr>
      </w:pPr>
      <w:r>
        <w:rPr>
          <w:sz w:val="22"/>
          <w:szCs w:val="22"/>
        </w:rPr>
        <w:t>W przypadku stosowania materiałów wykończeniowych luźno zwisających, w szczególności w kurtynach, zasłonach, draperiach, kotarach oraz żaluzjach, za łatwo zapalne uważa się materiały, których właściwości określone w badaniach zgodnych z Polskimi Normami odnoszącymi się do zapalności i rozprzestrzeniania płomienia przez wyroby włókiennicze nie spełniają co najmniej jednego z kryteriów:</w:t>
      </w:r>
    </w:p>
    <w:p>
      <w:pPr>
        <w:pStyle w:val="Standard"/>
        <w:keepNext w:val="true"/>
        <w:tabs>
          <w:tab w:val="clear" w:pos="708"/>
          <w:tab w:val="left" w:pos="2160" w:leader="none"/>
        </w:tabs>
        <w:spacing w:before="0" w:after="60"/>
        <w:jc w:val="both"/>
        <w:rPr>
          <w:sz w:val="22"/>
          <w:szCs w:val="22"/>
        </w:rPr>
      </w:pPr>
      <w:r>
        <w:rPr>
          <w:sz w:val="22"/>
          <w:szCs w:val="22"/>
        </w:rPr>
        <w:t>1) ti ≥ 4s</w:t>
      </w:r>
    </w:p>
    <w:p>
      <w:pPr>
        <w:pStyle w:val="Standard"/>
        <w:keepNext w:val="true"/>
        <w:tabs>
          <w:tab w:val="clear" w:pos="708"/>
          <w:tab w:val="left" w:pos="2160" w:leader="none"/>
        </w:tabs>
        <w:spacing w:before="0" w:after="60"/>
        <w:jc w:val="both"/>
        <w:rPr>
          <w:sz w:val="22"/>
          <w:szCs w:val="22"/>
        </w:rPr>
      </w:pPr>
      <w:r>
        <w:rPr>
          <w:sz w:val="22"/>
          <w:szCs w:val="22"/>
        </w:rPr>
        <w:t>2) ts ≤ 30s</w:t>
      </w:r>
    </w:p>
    <w:p>
      <w:pPr>
        <w:pStyle w:val="Standard"/>
        <w:keepNext w:val="true"/>
        <w:tabs>
          <w:tab w:val="clear" w:pos="708"/>
          <w:tab w:val="left" w:pos="2160" w:leader="none"/>
        </w:tabs>
        <w:spacing w:before="0" w:after="60"/>
        <w:jc w:val="both"/>
        <w:rPr>
          <w:sz w:val="22"/>
          <w:szCs w:val="22"/>
        </w:rPr>
      </w:pPr>
      <w:r>
        <w:rPr>
          <w:sz w:val="22"/>
          <w:szCs w:val="22"/>
        </w:rPr>
        <w:t>3) nie następuje przepalenie trzeciej nitki,</w:t>
      </w:r>
    </w:p>
    <w:p>
      <w:pPr>
        <w:pStyle w:val="Standard"/>
        <w:keepNext w:val="true"/>
        <w:tabs>
          <w:tab w:val="clear" w:pos="708"/>
          <w:tab w:val="left" w:pos="2160" w:leader="none"/>
        </w:tabs>
        <w:spacing w:before="0" w:after="60"/>
        <w:jc w:val="both"/>
        <w:rPr>
          <w:sz w:val="22"/>
          <w:szCs w:val="22"/>
        </w:rPr>
      </w:pPr>
      <w:r>
        <w:rPr>
          <w:sz w:val="22"/>
          <w:szCs w:val="22"/>
        </w:rPr>
        <w:t>4) nie występują płonące krople.</w:t>
      </w:r>
    </w:p>
    <w:p>
      <w:pPr>
        <w:pStyle w:val="Standard"/>
        <w:keepNext w:val="true"/>
        <w:tabs>
          <w:tab w:val="clear" w:pos="708"/>
          <w:tab w:val="left" w:pos="2160" w:leader="none"/>
        </w:tabs>
        <w:spacing w:before="0" w:after="60"/>
        <w:jc w:val="both"/>
        <w:rPr>
          <w:sz w:val="22"/>
          <w:szCs w:val="22"/>
        </w:rPr>
      </w:pPr>
      <w:r>
        <w:rPr>
          <w:sz w:val="22"/>
          <w:szCs w:val="22"/>
        </w:rPr>
        <w:t>W pomieszczeniach stosowanie łatwo zapalnych przegród, stałych elementów wyposażenia i wystroju wnętrz</w:t>
      </w:r>
    </w:p>
    <w:p>
      <w:pPr>
        <w:pStyle w:val="Standard"/>
        <w:keepNext w:val="true"/>
        <w:tabs>
          <w:tab w:val="clear" w:pos="708"/>
          <w:tab w:val="left" w:pos="2160" w:leader="none"/>
        </w:tabs>
        <w:spacing w:before="0" w:after="60"/>
        <w:jc w:val="both"/>
        <w:rPr>
          <w:sz w:val="22"/>
          <w:szCs w:val="22"/>
        </w:rPr>
      </w:pPr>
      <w:r>
        <w:rPr>
          <w:sz w:val="22"/>
          <w:szCs w:val="22"/>
        </w:rPr>
        <w:t>oraz wykładzin podłogowych jest zabronione.</w:t>
      </w:r>
    </w:p>
    <w:p>
      <w:pPr>
        <w:pStyle w:val="Standard"/>
        <w:keepNext w:val="true"/>
        <w:tabs>
          <w:tab w:val="clear" w:pos="708"/>
          <w:tab w:val="left" w:pos="2160" w:leader="none"/>
        </w:tabs>
        <w:spacing w:before="0" w:after="60"/>
        <w:jc w:val="both"/>
        <w:rPr>
          <w:sz w:val="22"/>
          <w:szCs w:val="22"/>
        </w:rPr>
      </w:pPr>
      <w:r>
        <w:rPr>
          <w:sz w:val="22"/>
          <w:szCs w:val="22"/>
        </w:rPr>
        <w:t>Klasyfikacja pożarowa dla podłóg: co najmniej A1fl; A2fl-s1; A2fl-s2 bądź Bfl-s1; Bfl-s2; Cfl-s1; Cfl-s2</w:t>
      </w:r>
    </w:p>
    <w:p>
      <w:pPr>
        <w:pStyle w:val="Standard"/>
        <w:keepNext w:val="true"/>
        <w:tabs>
          <w:tab w:val="clear" w:pos="708"/>
          <w:tab w:val="left" w:pos="2160" w:leader="none"/>
        </w:tabs>
        <w:spacing w:before="0" w:after="60"/>
        <w:jc w:val="both"/>
        <w:rPr>
          <w:sz w:val="22"/>
          <w:szCs w:val="22"/>
        </w:rPr>
      </w:pPr>
      <w:r>
        <w:rPr>
          <w:sz w:val="22"/>
          <w:szCs w:val="22"/>
        </w:rPr>
        <w:t>W pomieszczeniach z podłogami podniesionymi, stosowanie wykładzin podłogowych łatwo zapalnych jest zabronione.</w:t>
      </w:r>
    </w:p>
    <w:p>
      <w:pPr>
        <w:pStyle w:val="Standard"/>
        <w:keepNext w:val="true"/>
        <w:tabs>
          <w:tab w:val="clear" w:pos="708"/>
          <w:tab w:val="left" w:pos="2160" w:leader="none"/>
        </w:tabs>
        <w:spacing w:before="0" w:after="60"/>
        <w:jc w:val="both"/>
        <w:rPr>
          <w:sz w:val="22"/>
          <w:szCs w:val="22"/>
        </w:rPr>
      </w:pPr>
      <w:r>
        <w:rPr>
          <w:sz w:val="22"/>
          <w:szCs w:val="22"/>
        </w:rPr>
        <w:t>Palne elementy wystroju wnętrz budynku, przez które lub obok których są prowadzone przewody ogrzewcze, wentylacyjne, dymowe lub spalinowe, powinny być zabezpieczone przed możliwością zapalenia lub zwęglenia. Przewody elektroenergetyczne i inne instalacje wykonane z materiałów palnych, prowadzone w przestrzeni podpodłogowej podłogi podniesionej i w przestrzeni nad sufitami podwieszanymi, wykorzystywanej do wentylacji lub ogrzewania pomieszczenia, powinny mieć osłonę lub obudowę o klasie odporności ogniowej co najmniej EI30.</w:t>
      </w:r>
    </w:p>
    <w:p>
      <w:pPr>
        <w:pStyle w:val="Standard"/>
        <w:keepNext w:val="true"/>
        <w:tabs>
          <w:tab w:val="clear" w:pos="708"/>
          <w:tab w:val="left" w:pos="2160" w:leader="none"/>
        </w:tabs>
        <w:spacing w:before="0" w:after="60"/>
        <w:jc w:val="both"/>
        <w:rPr>
          <w:sz w:val="22"/>
          <w:szCs w:val="22"/>
        </w:rPr>
      </w:pPr>
      <w:r>
        <w:rPr>
          <w:sz w:val="22"/>
          <w:szCs w:val="22"/>
        </w:rPr>
        <w:t xml:space="preserve">Na drogach ewakuacyjnych wykonywanie w podłodze podniesionej otworów do wentylacji lub ogrzewania jest zabronione. </w:t>
      </w:r>
    </w:p>
    <w:p>
      <w:pPr>
        <w:pStyle w:val="Standard"/>
        <w:keepNext w:val="true"/>
        <w:tabs>
          <w:tab w:val="clear" w:pos="708"/>
          <w:tab w:val="left" w:pos="2160" w:leader="none"/>
        </w:tabs>
        <w:spacing w:before="0" w:after="60"/>
        <w:jc w:val="both"/>
        <w:rPr>
          <w:sz w:val="22"/>
          <w:szCs w:val="22"/>
        </w:rPr>
      </w:pPr>
      <w:r>
        <w:rPr>
          <w:sz w:val="22"/>
          <w:szCs w:val="22"/>
        </w:rPr>
        <w:t>Kable prowadzone pojedynczo lub w wiązkach muszą posiadać klasę reakcji na ogień nie niższą niż B2ca-s2,d1,a3.</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b/>
          <w:sz w:val="22"/>
          <w:szCs w:val="22"/>
        </w:rPr>
      </w:pPr>
      <w:r>
        <w:rPr>
          <w:b/>
          <w:sz w:val="22"/>
          <w:szCs w:val="22"/>
        </w:rPr>
      </w:r>
      <w:r>
        <w:br w:type="page"/>
      </w:r>
    </w:p>
    <w:p>
      <w:pPr>
        <w:pStyle w:val="Standard"/>
        <w:tabs>
          <w:tab w:val="clear" w:pos="708"/>
          <w:tab w:val="left" w:pos="2160" w:leader="none"/>
        </w:tabs>
        <w:spacing w:before="0" w:after="60"/>
        <w:jc w:val="both"/>
        <w:rPr>
          <w:b/>
          <w:sz w:val="22"/>
          <w:szCs w:val="22"/>
        </w:rPr>
      </w:pPr>
      <w:r>
        <w:rPr>
          <w:b/>
          <w:sz w:val="22"/>
          <w:szCs w:val="22"/>
        </w:rPr>
        <w:t xml:space="preserve">2.7.7. Podział na strefy pożarowe </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t>Brak zmian względem projektu budowlanego. Lokal usługowy zlokalizowany w części handlowej budynku – strefie pożarowej SP1.1 zaliczonej do kategorii zagrożenia ZL I.</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sz w:val="22"/>
          <w:szCs w:val="22"/>
        </w:rPr>
      </w:pPr>
      <w:r>
        <w:rPr>
          <w:b/>
          <w:sz w:val="22"/>
          <w:szCs w:val="22"/>
        </w:rPr>
        <w:t>2.7.8.</w:t>
      </w:r>
      <w:r>
        <w:rPr>
          <w:sz w:val="22"/>
          <w:szCs w:val="22"/>
        </w:rPr>
        <w:t xml:space="preserve"> </w:t>
      </w:r>
      <w:r>
        <w:rPr>
          <w:b/>
          <w:sz w:val="22"/>
          <w:szCs w:val="22"/>
        </w:rPr>
        <w:t>Usytuowanie z uwagi na bezpieczeństwo pożarowe, w tym o odległości od obiektów sąsiadujących</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t>Brak zmian względem projektu budowlanego.</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sz w:val="22"/>
          <w:szCs w:val="22"/>
        </w:rPr>
      </w:pPr>
      <w:r>
        <w:rPr>
          <w:b/>
          <w:sz w:val="22"/>
          <w:szCs w:val="22"/>
        </w:rPr>
        <w:t>2.7.9</w:t>
      </w:r>
      <w:r>
        <w:rPr>
          <w:sz w:val="22"/>
          <w:szCs w:val="22"/>
        </w:rPr>
        <w:t xml:space="preserve">. </w:t>
      </w:r>
      <w:r>
        <w:rPr>
          <w:b/>
          <w:bCs/>
          <w:sz w:val="22"/>
          <w:szCs w:val="22"/>
        </w:rPr>
        <w:t>Informacje o warunkach i strategii ewakuacji ludzi lub ich uratowania w inny sposób</w:t>
      </w:r>
    </w:p>
    <w:p>
      <w:pPr>
        <w:pStyle w:val="Standard"/>
        <w:keepNext w:val="true"/>
        <w:tabs>
          <w:tab w:val="clear" w:pos="708"/>
          <w:tab w:val="left" w:pos="2160" w:leader="none"/>
        </w:tabs>
        <w:spacing w:before="0" w:after="60"/>
        <w:jc w:val="both"/>
        <w:rPr>
          <w:sz w:val="22"/>
          <w:szCs w:val="22"/>
        </w:rPr>
      </w:pPr>
      <w:r>
        <w:rPr>
          <w:sz w:val="22"/>
          <w:szCs w:val="22"/>
        </w:rPr>
        <w:t xml:space="preserve">          </w:t>
      </w:r>
      <w:r>
        <w:rPr>
          <w:sz w:val="22"/>
          <w:szCs w:val="22"/>
        </w:rPr>
        <w:t>Ewakuacja z lokalu realizowana jest przejściami ewakuacyjnymi przez maks. 3 pomieszczenia do wyjścia bezpośrednio na zewnątrz. Szerokość przejść ewakuacyjnych wynosi co najmniej 90 cm. Długość przejścia ewakuacyjnego w pomieszczeniach nie przekracza 40 m. Z pomieszczeń przeznaczonych dla ponad 50 osób zapewniono drzwi ewakuacyjne otwierane na zewnątrz.</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sz w:val="22"/>
          <w:szCs w:val="22"/>
        </w:rPr>
      </w:pPr>
      <w:r>
        <w:rPr>
          <w:sz w:val="22"/>
          <w:szCs w:val="22"/>
        </w:rPr>
        <w:t>Drzwi wieloskrzydłowe, stanowiące wyjście ewakuacyjne z pomieszczeń oraz na drodze ewakuacyjnej, powinny mieć co najmniej jedno, nieblokowane skrzydło drzwiowe o szerokości nie mniejszej niż 0,9 m w świetle.</w:t>
      </w:r>
    </w:p>
    <w:p>
      <w:pPr>
        <w:pStyle w:val="Standard"/>
        <w:keepNext w:val="true"/>
        <w:tabs>
          <w:tab w:val="clear" w:pos="708"/>
          <w:tab w:val="left" w:pos="2160" w:leader="none"/>
        </w:tabs>
        <w:spacing w:before="0" w:after="60"/>
        <w:jc w:val="both"/>
        <w:rPr>
          <w:sz w:val="22"/>
          <w:szCs w:val="22"/>
        </w:rPr>
      </w:pPr>
      <w:r>
        <w:rPr>
          <w:sz w:val="22"/>
          <w:szCs w:val="22"/>
        </w:rPr>
        <w:t>Szerokość poziomych dróg ewakuacyjnych obliczona proporcjonalnie do liczby osób mogących przebywać jednocześnie na danej kondygnacji budynku, przyjmując co najmniej 0,6 m na 100 osób lecz nie mniej niż 1,4 m.</w:t>
      </w:r>
    </w:p>
    <w:p>
      <w:pPr>
        <w:pStyle w:val="Standard"/>
        <w:keepNext w:val="true"/>
        <w:tabs>
          <w:tab w:val="clear" w:pos="708"/>
          <w:tab w:val="left" w:pos="2160" w:leader="none"/>
        </w:tabs>
        <w:spacing w:before="0" w:after="60"/>
        <w:jc w:val="both"/>
        <w:rPr>
          <w:sz w:val="22"/>
          <w:szCs w:val="22"/>
        </w:rPr>
      </w:pPr>
      <w:r>
        <w:rPr>
          <w:sz w:val="22"/>
          <w:szCs w:val="22"/>
        </w:rPr>
        <w:t>W przypadku, gdy droga ewakuacyjna przeznaczona jest do ewakuacji nie więcej niż 20 osób jej szerokość zmniejszono do 1,2 m. Wysokość drogi ewakuacyjnej wynosi co najmniej 2,2 m.</w:t>
      </w:r>
    </w:p>
    <w:p>
      <w:pPr>
        <w:pStyle w:val="Standard"/>
        <w:keepNext w:val="true"/>
        <w:tabs>
          <w:tab w:val="clear" w:pos="708"/>
          <w:tab w:val="left" w:pos="2160" w:leader="none"/>
        </w:tabs>
        <w:spacing w:before="0" w:after="60"/>
        <w:jc w:val="both"/>
        <w:rPr>
          <w:sz w:val="22"/>
          <w:szCs w:val="22"/>
        </w:rPr>
      </w:pPr>
      <w:r>
        <w:rPr>
          <w:sz w:val="22"/>
          <w:szCs w:val="22"/>
        </w:rPr>
        <w:t>Zabrania się stosowania do celów ewakuacji drzwi obrotowych i podnoszonych.</w:t>
      </w:r>
    </w:p>
    <w:p>
      <w:pPr>
        <w:pStyle w:val="Standard"/>
        <w:keepNext w:val="true"/>
        <w:tabs>
          <w:tab w:val="clear" w:pos="708"/>
          <w:tab w:val="left" w:pos="2160" w:leader="none"/>
        </w:tabs>
        <w:spacing w:before="0" w:after="60"/>
        <w:jc w:val="both"/>
        <w:rPr>
          <w:sz w:val="22"/>
          <w:szCs w:val="22"/>
        </w:rPr>
      </w:pPr>
      <w:r>
        <w:rPr>
          <w:sz w:val="22"/>
          <w:szCs w:val="22"/>
        </w:rPr>
        <w:t>Kierunki i wyjścia ewakuacyjne będą oznakowane znakami bezpieczeństwa zgodnie z Polską Normą.</w:t>
      </w:r>
    </w:p>
    <w:p>
      <w:pPr>
        <w:pStyle w:val="Normal"/>
        <w:rPr>
          <w:rFonts w:ascii="Arial" w:hAnsi="Arial" w:eastAsia="Arial" w:cs="Arial"/>
          <w:sz w:val="22"/>
          <w:szCs w:val="22"/>
          <w:lang w:bidi="pl-PL"/>
        </w:rPr>
      </w:pPr>
      <w:r>
        <w:rPr>
          <w:rFonts w:eastAsia="Arial" w:cs="Arial" w:ascii="Arial" w:hAnsi="Arial"/>
          <w:sz w:val="22"/>
          <w:szCs w:val="22"/>
          <w:lang w:bidi="pl-PL"/>
        </w:rPr>
      </w:r>
      <w:r>
        <w:br w:type="page"/>
      </w:r>
    </w:p>
    <w:p>
      <w:pPr>
        <w:pStyle w:val="Standard"/>
        <w:keepNext w:val="true"/>
        <w:tabs>
          <w:tab w:val="clear" w:pos="708"/>
          <w:tab w:val="left" w:pos="2160" w:leader="none"/>
        </w:tabs>
        <w:spacing w:before="0" w:after="60"/>
        <w:jc w:val="both"/>
        <w:rPr>
          <w:b/>
          <w:sz w:val="22"/>
          <w:szCs w:val="22"/>
        </w:rPr>
      </w:pPr>
      <w:r>
        <w:rPr>
          <w:b/>
          <w:sz w:val="22"/>
          <w:szCs w:val="22"/>
        </w:rPr>
        <w:t>2.7.10. Sposób zabezpieczenia przeciwpożarowego instalacji użytkowych, a w szczególności wentylacyjnej, ogrzewczej, gazowej, elektrycznej, teletechnicznej i piorunochronnej</w:t>
      </w:r>
    </w:p>
    <w:p>
      <w:pPr>
        <w:pStyle w:val="Standard"/>
        <w:keepNext w:val="true"/>
        <w:tabs>
          <w:tab w:val="clear" w:pos="708"/>
          <w:tab w:val="left" w:pos="2160" w:leader="none"/>
        </w:tabs>
        <w:spacing w:before="0" w:after="60"/>
        <w:jc w:val="both"/>
        <w:rPr>
          <w:sz w:val="22"/>
          <w:szCs w:val="22"/>
        </w:rPr>
      </w:pPr>
      <w:r>
        <w:rPr>
          <w:sz w:val="22"/>
          <w:szCs w:val="22"/>
        </w:rPr>
        <w:t>Brak zmian względem projektu budowlanego.</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b/>
          <w:sz w:val="22"/>
          <w:szCs w:val="22"/>
        </w:rPr>
      </w:pPr>
      <w:r>
        <w:rPr>
          <w:b/>
          <w:sz w:val="22"/>
          <w:szCs w:val="22"/>
        </w:rPr>
        <w:t>2.7.11. Dobór urządzeń przeciwpożarowych i innych urządzeń służących bezpieczeństwu pożarowemu, dostosowanym do wymagań wynikających z przepisów dotyczących ochrony przeciwpożarowej i przyjętych scenariuszy pożarowych, z podstawową charakterystyką tych urządzeń</w:t>
      </w:r>
    </w:p>
    <w:p>
      <w:pPr>
        <w:pStyle w:val="Standard"/>
        <w:tabs>
          <w:tab w:val="clear" w:pos="708"/>
          <w:tab w:val="left" w:pos="2160" w:leader="none"/>
        </w:tabs>
        <w:spacing w:before="0" w:after="60"/>
        <w:jc w:val="both"/>
        <w:rPr>
          <w:b/>
          <w:sz w:val="22"/>
          <w:szCs w:val="22"/>
        </w:rPr>
      </w:pPr>
      <w:r>
        <w:rPr>
          <w:b/>
          <w:sz w:val="22"/>
          <w:szCs w:val="22"/>
        </w:rPr>
      </w:r>
    </w:p>
    <w:p>
      <w:pPr>
        <w:pStyle w:val="Standard"/>
        <w:keepNext w:val="true"/>
        <w:tabs>
          <w:tab w:val="clear" w:pos="708"/>
          <w:tab w:val="left" w:pos="2160" w:leader="none"/>
        </w:tabs>
        <w:spacing w:before="0" w:after="60"/>
        <w:jc w:val="both"/>
        <w:rPr>
          <w:sz w:val="22"/>
          <w:szCs w:val="22"/>
        </w:rPr>
      </w:pPr>
      <w:r>
        <w:rPr>
          <w:sz w:val="22"/>
          <w:szCs w:val="22"/>
        </w:rPr>
        <w:t>Lokal wyposażony w:</w:t>
      </w:r>
    </w:p>
    <w:p>
      <w:pPr>
        <w:pStyle w:val="Standard"/>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sz w:val="22"/>
          <w:szCs w:val="22"/>
        </w:rPr>
      </w:pPr>
      <w:r>
        <w:rPr>
          <w:b/>
          <w:bCs/>
          <w:sz w:val="22"/>
          <w:szCs w:val="22"/>
        </w:rPr>
        <w:t>a) Instalację awaryjnego oświetlenia ewakuacyjnego:</w:t>
      </w:r>
      <w:r>
        <w:rPr>
          <w:sz w:val="22"/>
          <w:szCs w:val="22"/>
        </w:rPr>
        <w:t xml:space="preserve"> </w:t>
      </w:r>
    </w:p>
    <w:p>
      <w:pPr>
        <w:pStyle w:val="Standard"/>
        <w:tabs>
          <w:tab w:val="clear" w:pos="708"/>
          <w:tab w:val="left" w:pos="2160" w:leader="none"/>
        </w:tabs>
        <w:spacing w:before="0" w:after="60"/>
        <w:jc w:val="both"/>
        <w:rPr>
          <w:sz w:val="22"/>
          <w:szCs w:val="22"/>
        </w:rPr>
      </w:pPr>
      <w:r>
        <w:rPr>
          <w:sz w:val="22"/>
          <w:szCs w:val="22"/>
        </w:rPr>
        <w:t xml:space="preserve">Awaryjne oświetlenie ewakuacyjne zostanie wykonane w oparciu o Polską Normę PN-EN 1838. </w:t>
      </w:r>
      <w:r>
        <w:rPr>
          <w:b/>
          <w:sz w:val="22"/>
          <w:szCs w:val="22"/>
        </w:rPr>
        <w:t>Natężenie oświetlenia na poziomie podłogi w osi drogi ewakuacyjnej, będzie nie mniejsze niż 1 lx. Czas działania oświetlenia powinien wynosić nie mniej niż 1 godzinę.</w:t>
      </w:r>
      <w:r>
        <w:rPr>
          <w:sz w:val="22"/>
          <w:szCs w:val="22"/>
        </w:rPr>
        <w:t xml:space="preserve"> Oprawy ewakuacyjne w lokalach usługowych muszą cały czas być włączone i wykonane w trybie „na jasno” (na stałe). Kierunki i wyjścia ewakuacyjne oznakować znakami bezpieczeństwa zgodnie z Polską Normą PN-92/N-01256/02. W rejonie urządzeń przeciwpożarowych natężenie oświetlenia co najmniej 5 lx.</w:t>
      </w:r>
    </w:p>
    <w:p>
      <w:pPr>
        <w:pStyle w:val="Standard"/>
        <w:tabs>
          <w:tab w:val="clear" w:pos="708"/>
          <w:tab w:val="left" w:pos="2160" w:leader="none"/>
        </w:tabs>
        <w:spacing w:before="0" w:after="60"/>
        <w:jc w:val="both"/>
        <w:rPr>
          <w:sz w:val="22"/>
          <w:szCs w:val="22"/>
        </w:rPr>
      </w:pPr>
      <w:r>
        <w:rPr>
          <w:b/>
          <w:sz w:val="22"/>
          <w:szCs w:val="22"/>
        </w:rPr>
        <w:t>Oświetlenie załączane automatycznie w przypadku zaniku napięcia podstawowego.</w:t>
      </w:r>
    </w:p>
    <w:p>
      <w:pPr>
        <w:pStyle w:val="Standard"/>
        <w:tabs>
          <w:tab w:val="clear" w:pos="708"/>
          <w:tab w:val="left" w:pos="2160" w:leader="none"/>
        </w:tabs>
        <w:spacing w:before="0" w:after="60"/>
        <w:jc w:val="both"/>
        <w:rPr>
          <w:sz w:val="22"/>
          <w:szCs w:val="22"/>
        </w:rPr>
      </w:pPr>
      <w:r>
        <w:rPr>
          <w:sz w:val="22"/>
          <w:szCs w:val="22"/>
        </w:rPr>
      </w:r>
    </w:p>
    <w:p>
      <w:pPr>
        <w:pStyle w:val="Standard"/>
        <w:tabs>
          <w:tab w:val="clear" w:pos="708"/>
          <w:tab w:val="left" w:pos="2160" w:leader="none"/>
        </w:tabs>
        <w:spacing w:before="0" w:after="60"/>
        <w:jc w:val="both"/>
        <w:rPr/>
      </w:pPr>
      <w:r>
        <w:rPr>
          <w:b/>
          <w:bCs/>
          <w:sz w:val="22"/>
          <w:szCs w:val="22"/>
        </w:rPr>
        <w:t>b) Instalację wodociągową przeciwpożarową z hydrantami 25:</w:t>
      </w:r>
      <w:r>
        <w:rPr>
          <w:sz w:val="22"/>
          <w:szCs w:val="22"/>
        </w:rPr>
        <w:t xml:space="preserve"> </w:t>
      </w:r>
    </w:p>
    <w:p>
      <w:pPr>
        <w:pStyle w:val="Standard"/>
        <w:tabs>
          <w:tab w:val="clear" w:pos="708"/>
          <w:tab w:val="left" w:pos="2160" w:leader="none"/>
        </w:tabs>
        <w:spacing w:before="0" w:after="60"/>
        <w:jc w:val="both"/>
        <w:rPr/>
      </w:pPr>
      <w:r>
        <w:rPr>
          <w:sz w:val="22"/>
          <w:szCs w:val="22"/>
        </w:rPr>
        <w:t xml:space="preserve">Zasięg 4 istniejących hydrantów (z uwzględnieniem długości węża i zasięgu rzutu prądu gaśniczego) zlokalizowanych na sali sprzedaży oraz magazynie towaru, obejmuje całą powierzchnię przedmiotowego lokalu. </w:t>
      </w:r>
    </w:p>
    <w:p>
      <w:pPr>
        <w:pStyle w:val="Standard"/>
        <w:tabs>
          <w:tab w:val="clear" w:pos="708"/>
          <w:tab w:val="left" w:pos="2160" w:leader="none"/>
        </w:tabs>
        <w:spacing w:before="0" w:after="60"/>
        <w:jc w:val="both"/>
        <w:rPr/>
      </w:pPr>
      <w:r>
        <w:rPr>
          <w:sz w:val="22"/>
          <w:szCs w:val="22"/>
        </w:rPr>
        <w:t>Projekt i wykonanie w lokalu handlowym po stronie Najemcy. Instalacja hydrantu zostanie wykonana przez firmę wskazaną przez gwaranta instalacji lub zarządcę (po upływie gwarancji).</w:t>
      </w:r>
    </w:p>
    <w:p>
      <w:pPr>
        <w:pStyle w:val="Standard"/>
        <w:tabs>
          <w:tab w:val="clear" w:pos="708"/>
          <w:tab w:val="left" w:pos="2160" w:leader="none"/>
        </w:tabs>
        <w:spacing w:before="0" w:after="60"/>
        <w:jc w:val="both"/>
        <w:rPr>
          <w:sz w:val="22"/>
          <w:szCs w:val="22"/>
        </w:rPr>
      </w:pPr>
      <w:r>
        <w:rPr>
          <w:sz w:val="22"/>
          <w:szCs w:val="22"/>
        </w:rPr>
      </w:r>
    </w:p>
    <w:p>
      <w:pPr>
        <w:pStyle w:val="Standard"/>
        <w:tabs>
          <w:tab w:val="clear" w:pos="708"/>
          <w:tab w:val="left" w:pos="2160" w:leader="none"/>
        </w:tabs>
        <w:spacing w:before="0" w:after="60"/>
        <w:jc w:val="both"/>
        <w:rPr>
          <w:b/>
          <w:bCs/>
        </w:rPr>
      </w:pPr>
      <w:r>
        <w:rPr>
          <w:b/>
          <w:bCs/>
          <w:sz w:val="22"/>
          <w:szCs w:val="22"/>
        </w:rPr>
        <w:t>c) System sygnalizacji pożarowej o ochronie całkowitej.</w:t>
      </w:r>
    </w:p>
    <w:p>
      <w:pPr>
        <w:pStyle w:val="Standard"/>
        <w:tabs>
          <w:tab w:val="clear" w:pos="708"/>
          <w:tab w:val="left" w:pos="2160" w:leader="none"/>
        </w:tabs>
        <w:spacing w:before="0" w:after="60"/>
        <w:jc w:val="both"/>
        <w:rPr>
          <w:sz w:val="22"/>
          <w:szCs w:val="22"/>
        </w:rPr>
      </w:pPr>
      <w:r>
        <w:rPr>
          <w:sz w:val="22"/>
          <w:szCs w:val="22"/>
        </w:rPr>
        <w:t xml:space="preserve">System wyposażony w urządzenie transmisji alarmów do PSP. Z każdego miejsca lokalu zapewniony musi zostać dojście do ręcznego ostrzegacza przeciwpożarowego o długości nieprzekraczającej 30 m. </w:t>
      </w:r>
    </w:p>
    <w:p>
      <w:pPr>
        <w:pStyle w:val="Standard"/>
        <w:tabs>
          <w:tab w:val="clear" w:pos="708"/>
          <w:tab w:val="left" w:pos="2160" w:leader="none"/>
        </w:tabs>
        <w:spacing w:before="0" w:after="60"/>
        <w:jc w:val="both"/>
        <w:rPr>
          <w:sz w:val="22"/>
          <w:szCs w:val="22"/>
        </w:rPr>
      </w:pPr>
      <w:r>
        <w:rPr>
          <w:sz w:val="22"/>
          <w:szCs w:val="22"/>
        </w:rPr>
        <w:t>W przypadku zainstalowania przez Najemcę Nagłaśniania Lokalnego (zabrania się stosowania systemów bateryjnych niepodłączonych do sieci do zasilania 230V) wymaga się, aby Najemca zapewnił Wynajmującemu możliwość wyłączenia systemu Najemcy w przypadku rozgłaszania komunikatu alarmowego. Najemca musi zapewnić w swojej rozdzielnicy osobny obwód do zasilania urządzeń nagłaśniających, zaopatrzonych w jeden stycznik 24VAC gotowy na przyjęcie sygnału bezpotencjałowego.</w:t>
      </w:r>
    </w:p>
    <w:p>
      <w:pPr>
        <w:pStyle w:val="Standard"/>
        <w:tabs>
          <w:tab w:val="clear" w:pos="708"/>
          <w:tab w:val="left" w:pos="2160" w:leader="none"/>
        </w:tabs>
        <w:spacing w:before="0" w:after="60"/>
        <w:jc w:val="both"/>
        <w:rPr>
          <w:sz w:val="22"/>
          <w:szCs w:val="22"/>
        </w:rPr>
      </w:pPr>
      <w:r>
        <w:rPr>
          <w:sz w:val="22"/>
          <w:szCs w:val="22"/>
        </w:rPr>
        <w:t>Wymaga się aby instalacja wentylacji Najemcy umożliwiała przyjęcie sygnału na wyłączenie w czasie pożaru, np. stycznik 24VAC gotowy na przyjęcie sygnału bezpotencjałowego z systemu SSP.</w:t>
      </w:r>
    </w:p>
    <w:p>
      <w:pPr>
        <w:pStyle w:val="Standard"/>
        <w:tabs>
          <w:tab w:val="clear" w:pos="708"/>
          <w:tab w:val="left" w:pos="2160" w:leader="none"/>
        </w:tabs>
        <w:spacing w:before="0" w:after="60"/>
        <w:jc w:val="both"/>
        <w:rPr>
          <w:sz w:val="22"/>
          <w:szCs w:val="22"/>
        </w:rPr>
      </w:pPr>
      <w:r>
        <w:rPr>
          <w:sz w:val="22"/>
          <w:szCs w:val="22"/>
        </w:rPr>
        <w:t>W przypadku zainstalowania przez Najemcę systemu kontroli dostępu, obwód zasilający kontrolę dostępu powinien zostać zaopatrzony w stycznik 24VAC gotowy na przyjęcie sygnału bezpotencjałowego z systemu SSP (w celu zwolnienia zamka w przypadku alarmu poż.).</w:t>
      </w:r>
    </w:p>
    <w:p>
      <w:pPr>
        <w:pStyle w:val="Standard"/>
        <w:tabs>
          <w:tab w:val="clear" w:pos="708"/>
          <w:tab w:val="left" w:pos="2160" w:leader="none"/>
        </w:tabs>
        <w:spacing w:before="0" w:after="60"/>
        <w:jc w:val="both"/>
        <w:rPr>
          <w:sz w:val="22"/>
          <w:szCs w:val="22"/>
        </w:rPr>
      </w:pPr>
      <w:r>
        <w:rPr>
          <w:sz w:val="22"/>
          <w:szCs w:val="22"/>
        </w:rPr>
      </w:r>
    </w:p>
    <w:p>
      <w:pPr>
        <w:pStyle w:val="Normal"/>
        <w:tabs>
          <w:tab w:val="clear" w:pos="708"/>
          <w:tab w:val="left" w:pos="2160" w:leader="none"/>
        </w:tabs>
        <w:spacing w:before="0" w:after="60"/>
        <w:jc w:val="both"/>
        <w:rPr>
          <w:rFonts w:ascii="Arial" w:hAnsi="Arial" w:eastAsia="Calibri" w:cs="Arial"/>
          <w:color w:val="000000"/>
          <w:kern w:val="0"/>
          <w:sz w:val="22"/>
          <w:lang w:eastAsia="en-US"/>
        </w:rPr>
      </w:pPr>
      <w:r>
        <w:rPr>
          <w:rFonts w:eastAsia="Calibri" w:cs="Arial" w:ascii="Arial" w:hAnsi="Arial"/>
          <w:b/>
          <w:bCs/>
          <w:color w:val="000000"/>
          <w:kern w:val="0"/>
          <w:sz w:val="22"/>
          <w:lang w:eastAsia="en-US"/>
        </w:rPr>
        <w:t xml:space="preserve">d) Dźwiękowy system ostrzegawczy </w:t>
      </w:r>
      <w:r>
        <w:rPr>
          <w:rFonts w:eastAsia="Calibri" w:cs="Arial" w:ascii="Arial" w:hAnsi="Arial"/>
          <w:color w:val="000000"/>
          <w:kern w:val="0"/>
          <w:sz w:val="22"/>
          <w:lang w:eastAsia="en-US"/>
        </w:rPr>
        <w:t>- uruchamiany automatycznie po zadziałaniu alarmu Il stopnia systemu SSP - podawanie słownych komunikatów alarmowych o wystąpieniu zagrożenia pożarowego oraz o potrzebie i sposobie ewakuacji.</w:t>
      </w:r>
    </w:p>
    <w:p>
      <w:pPr>
        <w:pStyle w:val="Normal"/>
        <w:tabs>
          <w:tab w:val="clear" w:pos="708"/>
          <w:tab w:val="left" w:pos="2160" w:leader="none"/>
        </w:tabs>
        <w:spacing w:before="0" w:after="60"/>
        <w:jc w:val="both"/>
        <w:rPr>
          <w:rFonts w:ascii="Arial" w:hAnsi="Arial" w:eastAsia="Calibri" w:cs="Arial"/>
          <w:color w:val="000000"/>
          <w:kern w:val="0"/>
          <w:sz w:val="22"/>
          <w:lang w:eastAsia="en-US"/>
        </w:rPr>
      </w:pPr>
      <w:r>
        <w:rPr>
          <w:rFonts w:eastAsia="Calibri" w:cs="Arial" w:ascii="Arial" w:hAnsi="Arial"/>
          <w:color w:val="000000"/>
          <w:kern w:val="0"/>
          <w:sz w:val="22"/>
          <w:lang w:eastAsia="en-US"/>
        </w:rPr>
      </w:r>
    </w:p>
    <w:p>
      <w:pPr>
        <w:pStyle w:val="Default"/>
        <w:rPr>
          <w:sz w:val="22"/>
        </w:rPr>
      </w:pPr>
      <w:r>
        <w:rPr>
          <w:b/>
          <w:bCs/>
          <w:sz w:val="22"/>
        </w:rPr>
        <w:t xml:space="preserve">e) System samoczynnych urządzeń gaśniczych wodnych </w:t>
      </w:r>
      <w:r>
        <w:rPr>
          <w:sz w:val="22"/>
        </w:rPr>
        <w:t xml:space="preserve">– instalacja tryskaczowa. </w:t>
      </w:r>
    </w:p>
    <w:p>
      <w:pPr>
        <w:pStyle w:val="Normal"/>
        <w:spacing w:before="0" w:after="200"/>
        <w:jc w:val="both"/>
        <w:rPr>
          <w:rFonts w:ascii="Arial" w:hAnsi="Arial" w:eastAsia="Calibri" w:cs="Arial"/>
          <w:color w:val="000000"/>
          <w:kern w:val="0"/>
          <w:sz w:val="22"/>
          <w:lang w:eastAsia="en-US"/>
        </w:rPr>
      </w:pPr>
      <w:r>
        <w:rPr>
          <w:rFonts w:eastAsia="Calibri" w:cs="Arial" w:ascii="Arial" w:hAnsi="Arial"/>
          <w:color w:val="000000"/>
          <w:kern w:val="0"/>
          <w:sz w:val="22"/>
          <w:lang w:eastAsia="en-US"/>
        </w:rPr>
        <w:t xml:space="preserve">Szczegółowe rozwiązania zostały zawarte w projektach branżowych. </w:t>
      </w:r>
    </w:p>
    <w:p>
      <w:pPr>
        <w:pStyle w:val="Normal"/>
        <w:spacing w:before="0" w:after="200"/>
        <w:jc w:val="both"/>
        <w:rPr/>
      </w:pPr>
      <w:r>
        <w:rPr>
          <w:rFonts w:eastAsia="Arial" w:cs="Arial" w:ascii="Arial" w:hAnsi="Arial"/>
          <w:b/>
          <w:bCs/>
          <w:sz w:val="22"/>
          <w:szCs w:val="22"/>
          <w:lang w:bidi="pl-PL"/>
        </w:rPr>
        <w:t>W celu spełnienia wymagań operatu pożarowego dla obiektu CH, przewidywana maksymalna wysokość składowania towarów wynosi w przypadku tekstyliów do 2,6m, zaś w przypadku butów do 1,7m ponad posadzką.</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b/>
          <w:sz w:val="22"/>
          <w:szCs w:val="22"/>
        </w:rPr>
      </w:pPr>
      <w:r>
        <w:rPr>
          <w:b/>
          <w:sz w:val="22"/>
          <w:szCs w:val="22"/>
        </w:rPr>
        <w:t>2.7.12. Wyposażenie w gaśnice</w:t>
      </w:r>
    </w:p>
    <w:p>
      <w:pPr>
        <w:pStyle w:val="Standard"/>
        <w:keepNext w:val="true"/>
        <w:tabs>
          <w:tab w:val="clear" w:pos="708"/>
          <w:tab w:val="left" w:pos="2160" w:leader="none"/>
        </w:tabs>
        <w:spacing w:before="0" w:after="60"/>
        <w:jc w:val="both"/>
        <w:rPr>
          <w:sz w:val="22"/>
          <w:szCs w:val="22"/>
        </w:rPr>
      </w:pPr>
      <w:r>
        <w:rPr>
          <w:sz w:val="22"/>
          <w:szCs w:val="22"/>
        </w:rPr>
        <w:t>Jedna jednostka masy środka gaśniczego 2kg lub 3dm</w:t>
      </w:r>
      <w:r>
        <w:rPr>
          <w:sz w:val="22"/>
          <w:szCs w:val="22"/>
          <w:vertAlign w:val="superscript"/>
        </w:rPr>
        <w:t>3</w:t>
      </w:r>
      <w:r>
        <w:rPr>
          <w:sz w:val="22"/>
          <w:szCs w:val="22"/>
        </w:rPr>
        <w:t xml:space="preserve"> na każde 100 m</w:t>
      </w:r>
      <w:r>
        <w:rPr>
          <w:sz w:val="22"/>
          <w:szCs w:val="22"/>
          <w:vertAlign w:val="superscript"/>
        </w:rPr>
        <w:t>2</w:t>
      </w:r>
      <w:r>
        <w:rPr>
          <w:sz w:val="22"/>
          <w:szCs w:val="22"/>
        </w:rPr>
        <w:t xml:space="preserve"> strefy pożarowej ZL I. Lokal musi być wyposażony minimum w x5 gaśnic GP 4, z czego jedna musi się znajdować w pobliżu drzwi wyjściowych z lokalu. W lokalu 4 gaśnice znajdować się będą w obudowach hydrantów HP-25.</w:t>
      </w:r>
    </w:p>
    <w:p>
      <w:pPr>
        <w:pStyle w:val="Standard"/>
        <w:keepNext w:val="true"/>
        <w:tabs>
          <w:tab w:val="clear" w:pos="708"/>
          <w:tab w:val="left" w:pos="2160" w:leader="none"/>
        </w:tabs>
        <w:spacing w:before="0" w:after="60"/>
        <w:jc w:val="both"/>
        <w:rPr>
          <w:b/>
          <w:sz w:val="22"/>
          <w:szCs w:val="22"/>
        </w:rPr>
      </w:pPr>
      <w:r>
        <w:rPr>
          <w:b/>
          <w:sz w:val="22"/>
          <w:szCs w:val="22"/>
        </w:rPr>
      </w:r>
    </w:p>
    <w:p>
      <w:pPr>
        <w:pStyle w:val="Standard"/>
        <w:keepNext w:val="true"/>
        <w:tabs>
          <w:tab w:val="clear" w:pos="708"/>
          <w:tab w:val="left" w:pos="2160" w:leader="none"/>
        </w:tabs>
        <w:spacing w:before="0" w:after="60"/>
        <w:jc w:val="both"/>
        <w:rPr>
          <w:b/>
          <w:sz w:val="22"/>
          <w:szCs w:val="22"/>
        </w:rPr>
      </w:pPr>
      <w:r>
        <w:rPr>
          <w:b/>
          <w:sz w:val="22"/>
          <w:szCs w:val="22"/>
        </w:rPr>
        <w:t>2.7.13. Informacje o przygotowaniu obiektu budowlanego i terenu do prowadzenia działań ratowniczo-gaśniczych, a w szczególności informacje o drogach pożarowych, zaopatrzeniu w wodę do zewnętrznego gaszenia pożaru oraz o sprzęcie służącym do tych działań</w:t>
      </w:r>
    </w:p>
    <w:p>
      <w:pPr>
        <w:pStyle w:val="Standard"/>
        <w:keepNext w:val="true"/>
        <w:tabs>
          <w:tab w:val="clear" w:pos="708"/>
          <w:tab w:val="left" w:pos="2160" w:leader="none"/>
        </w:tabs>
        <w:spacing w:before="0" w:after="60"/>
        <w:jc w:val="both"/>
        <w:rPr>
          <w:sz w:val="22"/>
          <w:szCs w:val="22"/>
        </w:rPr>
      </w:pPr>
      <w:r>
        <w:rPr>
          <w:sz w:val="22"/>
          <w:szCs w:val="22"/>
        </w:rPr>
        <w:t>Brak zmian względem projektu budowlanego w odniesieniu do dróg pożarowych oraz przeciwpożarowego zaopatrzenia w wodę do zewnętrznego gaszenia pożaru.</w:t>
      </w:r>
    </w:p>
    <w:p>
      <w:pPr>
        <w:pStyle w:val="Standard"/>
        <w:keepNext w:val="true"/>
        <w:tabs>
          <w:tab w:val="clear" w:pos="708"/>
          <w:tab w:val="left" w:pos="2160" w:leader="none"/>
        </w:tabs>
        <w:spacing w:before="0" w:after="60"/>
        <w:jc w:val="both"/>
        <w:rPr>
          <w:sz w:val="22"/>
          <w:szCs w:val="22"/>
        </w:rPr>
      </w:pPr>
      <w:r>
        <w:rPr>
          <w:sz w:val="22"/>
          <w:szCs w:val="22"/>
        </w:rPr>
      </w:r>
    </w:p>
    <w:p>
      <w:pPr>
        <w:pStyle w:val="Standard"/>
        <w:keepNext w:val="true"/>
        <w:tabs>
          <w:tab w:val="clear" w:pos="708"/>
          <w:tab w:val="left" w:pos="2160" w:leader="none"/>
        </w:tabs>
        <w:spacing w:before="0" w:after="60"/>
        <w:jc w:val="both"/>
        <w:rPr>
          <w:b/>
          <w:bCs/>
          <w:sz w:val="22"/>
          <w:szCs w:val="22"/>
        </w:rPr>
      </w:pPr>
      <w:r>
        <w:rPr>
          <w:b/>
          <w:bCs/>
          <w:sz w:val="22"/>
          <w:szCs w:val="22"/>
        </w:rPr>
        <w:t>2.8 Instalacja wentylacji i klimatyzacji oraz wod-kan.</w:t>
      </w:r>
    </w:p>
    <w:p>
      <w:pPr>
        <w:pStyle w:val="Standard"/>
        <w:keepNext w:val="true"/>
        <w:tabs>
          <w:tab w:val="clear" w:pos="708"/>
          <w:tab w:val="left" w:pos="2160" w:leader="none"/>
        </w:tabs>
        <w:spacing w:before="0" w:after="60"/>
        <w:jc w:val="both"/>
        <w:rPr>
          <w:sz w:val="22"/>
          <w:szCs w:val="22"/>
        </w:rPr>
      </w:pPr>
      <w:r>
        <w:rPr>
          <w:sz w:val="22"/>
          <w:szCs w:val="22"/>
        </w:rPr>
      </w:r>
    </w:p>
    <w:p>
      <w:pPr>
        <w:pStyle w:val="DefaultText"/>
        <w:jc w:val="both"/>
        <w:rPr>
          <w:sz w:val="22"/>
          <w:szCs w:val="22"/>
          <w:lang w:val="pl-PL"/>
        </w:rPr>
      </w:pPr>
      <w:r>
        <w:rPr>
          <w:sz w:val="22"/>
          <w:szCs w:val="22"/>
          <w:lang w:val="pl-PL"/>
        </w:rPr>
        <w:t xml:space="preserve"> </w:t>
      </w:r>
      <w:r>
        <w:rPr>
          <w:lang w:val="pl-PL"/>
        </w:rPr>
        <w:tab/>
      </w:r>
      <w:r>
        <w:rPr>
          <w:sz w:val="22"/>
          <w:szCs w:val="22"/>
          <w:lang w:val="pl-PL"/>
        </w:rPr>
        <w:t xml:space="preserve">Nad lokalem znajduje się istniejący rooftop przygotowujący ogrzewane/chłodzone powietrze dla lokalu.  Bez zmian pozostaje sposób konstrukcyjnego umocowania rooftopa ponad przestrzenią sklepu. Od urządzenia rozprowadzono kanały nawiewne i wywiewne z ominięciem istniejącej konstrukcji dachu. </w:t>
      </w:r>
    </w:p>
    <w:p>
      <w:pPr>
        <w:pStyle w:val="DefaultText"/>
        <w:jc w:val="both"/>
        <w:rPr>
          <w:sz w:val="22"/>
          <w:szCs w:val="22"/>
          <w:lang w:val="pl-PL"/>
        </w:rPr>
      </w:pPr>
      <w:r>
        <w:rPr>
          <w:sz w:val="22"/>
          <w:szCs w:val="22"/>
          <w:lang w:val="pl-PL"/>
        </w:rPr>
        <w:t xml:space="preserve">Dodatkowo przewiduje się dodatkowe klimatyzatory na sali sprzedaży oraz w magazynie towaru, jak i destratyfikatory. </w:t>
      </w:r>
    </w:p>
    <w:p>
      <w:pPr>
        <w:pStyle w:val="DefaultText"/>
        <w:jc w:val="both"/>
        <w:rPr>
          <w:sz w:val="22"/>
          <w:szCs w:val="22"/>
          <w:lang w:val="pl-PL"/>
        </w:rPr>
      </w:pPr>
      <w:r>
        <w:rPr>
          <w:sz w:val="22"/>
          <w:szCs w:val="22"/>
          <w:lang w:val="pl-PL"/>
        </w:rPr>
        <w:t xml:space="preserve"> </w:t>
      </w:r>
      <w:r>
        <w:rPr>
          <w:lang w:val="pl-PL"/>
        </w:rPr>
        <w:tab/>
      </w:r>
      <w:r>
        <w:rPr>
          <w:sz w:val="22"/>
          <w:szCs w:val="22"/>
          <w:lang w:val="pl-PL"/>
        </w:rPr>
        <w:t>W zapleczu projektuje się zlewozmywak w pokoju socjalnym oraz zlew w szafie porządkowej. Wodomierz w magazynie towaru do zachowania w istniejącej lokalizacji.</w:t>
      </w:r>
    </w:p>
    <w:p>
      <w:pPr>
        <w:pStyle w:val="DefaultText"/>
        <w:jc w:val="both"/>
        <w:rPr>
          <w:sz w:val="22"/>
          <w:szCs w:val="22"/>
          <w:lang w:val="pl-PL"/>
        </w:rPr>
      </w:pPr>
      <w:r>
        <w:rPr>
          <w:sz w:val="22"/>
          <w:szCs w:val="22"/>
          <w:lang w:val="pl-PL"/>
        </w:rPr>
        <w:t xml:space="preserve"> </w:t>
      </w:r>
      <w:r>
        <w:rPr>
          <w:lang w:val="pl-PL"/>
        </w:rPr>
        <w:br/>
      </w:r>
      <w:r>
        <w:rPr>
          <w:b/>
          <w:bCs/>
          <w:sz w:val="22"/>
          <w:szCs w:val="22"/>
          <w:lang w:val="pl-PL"/>
        </w:rPr>
        <w:t>2.9 Oddymianie</w:t>
      </w:r>
    </w:p>
    <w:p>
      <w:pPr>
        <w:pStyle w:val="DefaultText"/>
        <w:jc w:val="both"/>
        <w:rPr>
          <w:sz w:val="22"/>
          <w:szCs w:val="22"/>
          <w:lang w:val="pl-PL"/>
        </w:rPr>
      </w:pPr>
      <w:r>
        <w:rPr>
          <w:sz w:val="22"/>
          <w:szCs w:val="22"/>
          <w:lang w:val="pl-PL"/>
        </w:rPr>
      </w:r>
    </w:p>
    <w:p>
      <w:pPr>
        <w:pStyle w:val="DefaultText"/>
        <w:jc w:val="both"/>
        <w:rPr>
          <w:sz w:val="22"/>
          <w:szCs w:val="22"/>
          <w:lang w:val="pl-PL"/>
        </w:rPr>
      </w:pPr>
      <w:r>
        <w:rPr>
          <w:sz w:val="22"/>
          <w:szCs w:val="22"/>
          <w:lang w:val="pl-PL"/>
        </w:rPr>
        <w:tab/>
        <w:t>Nie przewiduje się oddymiania lokalu.</w:t>
      </w:r>
      <w:r>
        <w:rPr>
          <w:sz w:val="22"/>
          <w:lang w:val="pl-PL"/>
        </w:rPr>
        <w:t xml:space="preserve"> </w:t>
      </w:r>
    </w:p>
    <w:p>
      <w:pPr>
        <w:pStyle w:val="DefaultText"/>
        <w:jc w:val="both"/>
        <w:rPr>
          <w:b/>
          <w:bCs/>
          <w:sz w:val="22"/>
          <w:szCs w:val="22"/>
          <w:lang w:val="pl-PL"/>
        </w:rPr>
      </w:pPr>
      <w:r>
        <w:rPr>
          <w:b/>
          <w:bCs/>
          <w:sz w:val="22"/>
          <w:szCs w:val="22"/>
          <w:lang w:val="pl-PL"/>
        </w:rPr>
        <w:t xml:space="preserve"> </w:t>
      </w:r>
      <w:r>
        <w:rPr>
          <w:lang w:val="pl-PL"/>
        </w:rPr>
        <w:br/>
      </w:r>
      <w:r>
        <w:rPr>
          <w:b/>
          <w:bCs/>
          <w:sz w:val="22"/>
          <w:szCs w:val="22"/>
          <w:lang w:val="pl-PL"/>
        </w:rPr>
        <w:t>2.10  Dostępność dla osób niepełnosprawnych oraz zagadnienia BHP.</w:t>
      </w:r>
    </w:p>
    <w:p>
      <w:pPr>
        <w:pStyle w:val="DefaultText"/>
        <w:jc w:val="both"/>
        <w:rPr>
          <w:b/>
          <w:bCs/>
          <w:sz w:val="22"/>
          <w:szCs w:val="22"/>
          <w:lang w:val="pl-PL"/>
        </w:rPr>
      </w:pPr>
      <w:r>
        <w:rPr>
          <w:b/>
          <w:bCs/>
          <w:sz w:val="22"/>
          <w:szCs w:val="22"/>
          <w:lang w:val="pl-PL"/>
        </w:rPr>
      </w:r>
    </w:p>
    <w:p>
      <w:pPr>
        <w:pStyle w:val="DefaultText"/>
        <w:jc w:val="both"/>
        <w:rPr>
          <w:sz w:val="22"/>
          <w:szCs w:val="22"/>
          <w:lang w:val="pl-PL"/>
        </w:rPr>
      </w:pPr>
      <w:r>
        <w:rPr>
          <w:rFonts w:ascii="Arial;Helvetica;sans-serif" w:hAnsi="Arial;Helvetica;sans-serif"/>
          <w:sz w:val="22"/>
          <w:szCs w:val="22"/>
          <w:lang w:val="pl-PL"/>
        </w:rPr>
        <w:tab/>
      </w:r>
      <w:r>
        <w:rPr>
          <w:sz w:val="22"/>
          <w:szCs w:val="22"/>
          <w:lang w:val="pl-PL"/>
        </w:rPr>
        <w:t>Lokal jest przystosowany dla osób niepełnosprawnych i nie posiada barier architektonicznych. W obrębie kompleksu handlowego zlokalizowano przystosowane dla osób niepełnosprawnych toalety. Ponadto pomiędzy wejściem do lokalu, a pozostałymi pomieszczeniami z wejściami w obrębie sali sprzedaży brak wszelkich barier dla osób niepełnosprawnych poruszających się na wózkach inwalidzkich. </w:t>
      </w:r>
    </w:p>
    <w:p>
      <w:pPr>
        <w:pStyle w:val="Tretekstu"/>
        <w:tabs>
          <w:tab w:val="clear" w:pos="708"/>
          <w:tab w:val="left" w:pos="0" w:leader="none"/>
        </w:tabs>
        <w:spacing w:lineRule="auto" w:line="360"/>
        <w:ind w:left="709" w:hanging="0"/>
        <w:rPr>
          <w:rFonts w:eastAsia="Arial"/>
          <w:color w:val="auto"/>
          <w:sz w:val="22"/>
          <w:szCs w:val="22"/>
          <w:lang w:bidi="pl-PL"/>
        </w:rPr>
      </w:pPr>
      <w:r>
        <w:rPr>
          <w:rFonts w:eastAsia="Arial"/>
          <w:color w:val="auto"/>
          <w:sz w:val="22"/>
          <w:szCs w:val="22"/>
          <w:lang w:bidi="pl-PL"/>
        </w:rPr>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Zapewnia się oświetlenie elektryczne we wszystkich miejscach, w których mogą przebywać pracownicy.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Temperatura i wymiana powietrza jest sterowana przy użyciu projektowanych systemów wentylacji i klimatyzacji (patrz: odrębne istniejące opracowanie w posiadaniu CH).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Zaprojektowano stabilne, nieśliskie materiały posadzkowe.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Wysokość żadnego z projektowanych pomieszczeń nie jest mniejsza niż 300cm.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Na każdego z pracowników, jednocześnie zatrudnionych przypada co najmniej 13m3 wolnej objętości pomieszczenia oraz co najmniej 2m2 wolnej powierzchni podłogi. </w:t>
      </w:r>
    </w:p>
    <w:p>
      <w:pPr>
        <w:pStyle w:val="Tretekstu"/>
        <w:numPr>
          <w:ilvl w:val="0"/>
          <w:numId w:val="8"/>
        </w:numPr>
        <w:tabs>
          <w:tab w:val="clear" w:pos="708"/>
          <w:tab w:val="left" w:pos="0" w:leader="none"/>
        </w:tabs>
        <w:spacing w:lineRule="auto" w:line="360"/>
        <w:rPr>
          <w:rFonts w:eastAsia="Arial"/>
          <w:b/>
          <w:bCs/>
          <w:color w:val="auto"/>
          <w:sz w:val="22"/>
          <w:szCs w:val="22"/>
          <w:lang w:bidi="pl-PL"/>
        </w:rPr>
      </w:pPr>
      <w:r>
        <w:rPr>
          <w:rFonts w:eastAsia="Arial"/>
          <w:b/>
          <w:bCs/>
          <w:color w:val="auto"/>
          <w:sz w:val="22"/>
          <w:szCs w:val="22"/>
          <w:lang w:bidi="pl-PL"/>
        </w:rPr>
        <w:t>Przewiduje się brak miejsc stałej pracy – pracownicy na każdym stanowisku pracują na zmianie mniej niż 4h. </w:t>
      </w:r>
    </w:p>
    <w:p>
      <w:pPr>
        <w:pStyle w:val="Tretekstu"/>
        <w:numPr>
          <w:ilvl w:val="0"/>
          <w:numId w:val="8"/>
        </w:numPr>
        <w:tabs>
          <w:tab w:val="clear" w:pos="708"/>
          <w:tab w:val="left" w:pos="0" w:leader="none"/>
        </w:tabs>
        <w:spacing w:lineRule="auto" w:line="360"/>
        <w:rPr>
          <w:rFonts w:eastAsia="Arial"/>
          <w:b/>
          <w:bCs/>
          <w:color w:val="auto"/>
          <w:sz w:val="22"/>
          <w:szCs w:val="22"/>
          <w:lang w:bidi="pl-PL"/>
        </w:rPr>
      </w:pPr>
      <w:r>
        <w:rPr>
          <w:rFonts w:eastAsia="Arial"/>
          <w:b/>
          <w:bCs/>
          <w:color w:val="auto"/>
          <w:sz w:val="22"/>
          <w:szCs w:val="22"/>
          <w:lang w:bidi="pl-PL"/>
        </w:rPr>
        <w:t xml:space="preserve">Zatrudnienie w lokalu: do 5 osób, w tym 2-3 osoby na jedną zmianę.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Pomieszczenia pracy zamykane są w sposób umożliwiający wyjście z pomieszczenia nawet przy zamknięciu z zewnątrz.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Utrzymano podobne natężenie światła w sąsiadujących pomieszczeniach.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Pracownicy mają możliwość spożywania posiłków i napojów, w czasie przerw od pracy, w pokoju socjalnym.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 xml:space="preserve">Pracownicy korzystają z toalety na zapleczu lokalu.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 xml:space="preserve">Pracownicy posiadają dostęp do szafek ubraniowych w obrębie szatni.  </w:t>
      </w:r>
    </w:p>
    <w:p>
      <w:pPr>
        <w:pStyle w:val="Tretekstu"/>
        <w:numPr>
          <w:ilvl w:val="0"/>
          <w:numId w:val="8"/>
        </w:numPr>
        <w:tabs>
          <w:tab w:val="clear" w:pos="708"/>
          <w:tab w:val="left" w:pos="0" w:leader="none"/>
        </w:tabs>
        <w:spacing w:lineRule="auto" w:line="360"/>
        <w:rPr>
          <w:rFonts w:eastAsia="Arial"/>
          <w:color w:val="auto"/>
          <w:sz w:val="22"/>
          <w:szCs w:val="22"/>
          <w:lang w:bidi="pl-PL"/>
        </w:rPr>
      </w:pPr>
      <w:r>
        <w:rPr>
          <w:rFonts w:eastAsia="Arial"/>
          <w:color w:val="auto"/>
          <w:sz w:val="22"/>
          <w:szCs w:val="22"/>
          <w:lang w:bidi="pl-PL"/>
        </w:rPr>
        <w:t>Na zapleczu przewidziano szafę porządkową ze zlewem w pom. magazynu towaru.</w:t>
      </w:r>
    </w:p>
    <w:p>
      <w:pPr>
        <w:pStyle w:val="Tretekstu"/>
        <w:numPr>
          <w:ilvl w:val="0"/>
          <w:numId w:val="8"/>
        </w:numPr>
        <w:tabs>
          <w:tab w:val="clear" w:pos="708"/>
          <w:tab w:val="left" w:pos="0" w:leader="none"/>
        </w:tabs>
        <w:spacing w:lineRule="auto" w:line="360" w:before="0" w:after="283"/>
        <w:rPr>
          <w:rFonts w:eastAsia="Arial"/>
          <w:color w:val="auto"/>
          <w:sz w:val="22"/>
          <w:szCs w:val="22"/>
          <w:lang w:bidi="pl-PL"/>
        </w:rPr>
      </w:pPr>
      <w:r>
        <w:rPr>
          <w:rFonts w:eastAsia="Arial"/>
          <w:color w:val="auto"/>
          <w:sz w:val="22"/>
          <w:szCs w:val="22"/>
          <w:lang w:bidi="pl-PL"/>
        </w:rPr>
        <w:t>W obrębie parku handlowego znajdują się ogólnodostępne toalety dla klientów.</w:t>
      </w:r>
    </w:p>
    <w:p>
      <w:pPr>
        <w:pStyle w:val="Normal"/>
        <w:rPr>
          <w:rFonts w:ascii="Arial" w:hAnsi="Arial" w:eastAsia="Arial" w:cs="Arial"/>
          <w:b/>
          <w:bCs/>
          <w:szCs w:val="22"/>
          <w:lang w:bidi="pl-PL"/>
        </w:rPr>
      </w:pPr>
      <w:r>
        <w:rPr>
          <w:rFonts w:cs="Arial" w:ascii="Arial" w:hAnsi="Arial"/>
          <w:b/>
          <w:bCs/>
          <w:szCs w:val="22"/>
        </w:rPr>
        <w:t>Uwagi końcowe:</w:t>
      </w:r>
    </w:p>
    <w:p>
      <w:pPr>
        <w:pStyle w:val="Standard"/>
        <w:tabs>
          <w:tab w:val="clear" w:pos="708"/>
          <w:tab w:val="left" w:pos="2160" w:leader="none"/>
        </w:tabs>
        <w:spacing w:lineRule="auto" w:line="276"/>
        <w:jc w:val="both"/>
        <w:rPr>
          <w:sz w:val="22"/>
          <w:szCs w:val="22"/>
        </w:rPr>
      </w:pPr>
      <w:r>
        <w:rPr>
          <w:sz w:val="22"/>
          <w:szCs w:val="22"/>
        </w:rPr>
        <w:t>1. Lokal obs</w:t>
      </w:r>
      <w:r>
        <w:rPr>
          <w:sz w:val="22"/>
        </w:rPr>
        <w:t>ługiwany przez maksymalnie dwie-trzy osoby na jednej zmianie, pracownicy korzystają z sanitariatów dostępnych na zapleczu lokalu.</w:t>
      </w:r>
    </w:p>
    <w:p>
      <w:pPr>
        <w:pStyle w:val="Standard"/>
        <w:tabs>
          <w:tab w:val="clear" w:pos="708"/>
          <w:tab w:val="left" w:pos="2160" w:leader="none"/>
        </w:tabs>
        <w:spacing w:lineRule="auto" w:line="276"/>
        <w:jc w:val="both"/>
        <w:rPr>
          <w:sz w:val="22"/>
          <w:szCs w:val="22"/>
        </w:rPr>
      </w:pPr>
      <w:r>
        <w:rPr>
          <w:sz w:val="22"/>
          <w:szCs w:val="22"/>
        </w:rPr>
        <w:t>2. Ze względu na charakter obiektu wszystkie wymiary i rzędne należy sprawdzić na budowie, a zaistniałe niezgodności pomiędzy projektem architektoniczno-budowlanym i pozostałymi opracowaniami branżowymi a stanem istniejącym należy wyjaśnić i uzgodnić z głównym projektantem.</w:t>
      </w:r>
    </w:p>
    <w:p>
      <w:pPr>
        <w:pStyle w:val="Standard"/>
        <w:tabs>
          <w:tab w:val="clear" w:pos="708"/>
          <w:tab w:val="left" w:pos="2160" w:leader="none"/>
        </w:tabs>
        <w:spacing w:lineRule="auto" w:line="276"/>
        <w:jc w:val="both"/>
        <w:rPr>
          <w:sz w:val="22"/>
          <w:szCs w:val="22"/>
        </w:rPr>
      </w:pPr>
      <w:r>
        <w:rPr>
          <w:sz w:val="22"/>
          <w:szCs w:val="22"/>
        </w:rPr>
        <w:t xml:space="preserve">3. W pom. socjalnym dopuszcza się spożywanie posiłków. </w:t>
      </w:r>
    </w:p>
    <w:p>
      <w:pPr>
        <w:pStyle w:val="Standard"/>
        <w:tabs>
          <w:tab w:val="clear" w:pos="708"/>
          <w:tab w:val="left" w:pos="2160" w:leader="none"/>
        </w:tabs>
        <w:spacing w:lineRule="auto" w:line="276"/>
        <w:jc w:val="both"/>
        <w:rPr>
          <w:sz w:val="22"/>
          <w:szCs w:val="22"/>
        </w:rPr>
      </w:pPr>
      <w:r>
        <w:rPr>
          <w:sz w:val="22"/>
          <w:szCs w:val="22"/>
        </w:rPr>
        <w:t>4. W lokalu przewiduje się, że jedna osoba na tym samym stanowisku pracuje przez mniej niż 4 godziny w ciągu doby.</w:t>
      </w:r>
    </w:p>
    <w:p>
      <w:pPr>
        <w:pStyle w:val="Standard"/>
        <w:spacing w:lineRule="auto" w:line="276"/>
        <w:jc w:val="both"/>
        <w:rPr>
          <w:sz w:val="22"/>
          <w:szCs w:val="22"/>
        </w:rPr>
      </w:pPr>
      <w:r>
        <w:rPr>
          <w:sz w:val="22"/>
          <w:szCs w:val="22"/>
        </w:rPr>
        <w:t>5. Zakres wykonania i obowiązki przy robotach budowlanych - zgodnie ze sztuką budowlaną (Warunki Techniczne Wykonania I Odbioru Robót Budowlano-Montażowych).</w:t>
      </w:r>
    </w:p>
    <w:p>
      <w:pPr>
        <w:pStyle w:val="Standard"/>
        <w:spacing w:lineRule="auto" w:line="276"/>
        <w:jc w:val="both"/>
        <w:rPr>
          <w:sz w:val="22"/>
          <w:szCs w:val="22"/>
        </w:rPr>
      </w:pPr>
      <w:r>
        <w:rPr>
          <w:sz w:val="22"/>
          <w:szCs w:val="22"/>
        </w:rPr>
        <w:t>6. Uwagi i opisy zamieszczone w części opisowej opracowania stanowią integralną jego część.</w:t>
      </w:r>
    </w:p>
    <w:p>
      <w:pPr>
        <w:pStyle w:val="Standard"/>
        <w:spacing w:lineRule="auto" w:line="276"/>
        <w:jc w:val="both"/>
        <w:rPr>
          <w:sz w:val="22"/>
          <w:szCs w:val="22"/>
        </w:rPr>
      </w:pPr>
      <w:r>
        <w:rPr>
          <w:sz w:val="22"/>
          <w:szCs w:val="22"/>
        </w:rPr>
        <w:t>7. Teren robót powinien być przygotowany przez wydzielenie, uporządkowanie i zabezpieczenie pod względem BHP. W czasie wykonywania robót należy ściśle przestrzegać obowiązujących przepisów w zakresie BHP. Wszyscy pracownicy zatrudnieni przy wykonywaniu robót powinni zostać przeszkoleni w kwestiach przepisów BHP i ppoż. W pomieszczeniach socjalnych należy przewidzieć apteczkę z lekami pierwszej pomocy.</w:t>
      </w:r>
    </w:p>
    <w:p>
      <w:pPr>
        <w:pStyle w:val="Standard"/>
        <w:spacing w:lineRule="auto" w:line="276"/>
        <w:jc w:val="both"/>
        <w:rPr>
          <w:sz w:val="22"/>
          <w:szCs w:val="22"/>
        </w:rPr>
      </w:pPr>
      <w:r>
        <w:rPr>
          <w:sz w:val="22"/>
          <w:szCs w:val="22"/>
        </w:rPr>
        <w:t>8. Projekt jest chroniony Prawem Autorskim (Dz.U.94.24.83). Wszystkie informacje zawarte w tym projekcie (zarówno na rysunkach jak i w części opisowej) stanowią własność intelektualną firmy "Vector" i nie wolno ich użyć ponownie i reprodukować bez pisemnej zgody wyżej wymienionej firmy.</w:t>
      </w:r>
    </w:p>
    <w:p>
      <w:pPr>
        <w:pStyle w:val="Standard"/>
        <w:spacing w:lineRule="auto" w:line="276"/>
        <w:jc w:val="both"/>
        <w:rPr>
          <w:sz w:val="22"/>
          <w:szCs w:val="22"/>
        </w:rPr>
      </w:pPr>
      <w:r>
        <w:rPr>
          <w:sz w:val="22"/>
          <w:szCs w:val="22"/>
        </w:rPr>
        <w:t>9. Wszystkie zastosowane w projekcie materiały, rozwiązania techniczne i urządzenia będą odpowiadały normom bezpieczeństwa ppoż. i bhp (posiadają odpowiednie atesty i aprobaty).</w:t>
      </w:r>
    </w:p>
    <w:p>
      <w:pPr>
        <w:pStyle w:val="Standard"/>
        <w:spacing w:lineRule="auto" w:line="276"/>
        <w:jc w:val="both"/>
        <w:rPr>
          <w:sz w:val="22"/>
          <w:szCs w:val="22"/>
        </w:rPr>
      </w:pPr>
      <w:r>
        <w:rPr>
          <w:sz w:val="22"/>
          <w:szCs w:val="22"/>
        </w:rPr>
        <w:t>10. Wszystkie projekty instalacji, wyposażenia, montażu urządzeń technologicznych nieobjęte zakresem projektu wykonywanego przez pracownię "Vector Krzysztof Stasiak Doradztwo i Zarządzanie" wymagają uzgodnienia przez wskazanych przez nią projektantów lub jednostki projektowe.</w:t>
      </w:r>
    </w:p>
    <w:p>
      <w:pPr>
        <w:pStyle w:val="Standard"/>
        <w:spacing w:lineRule="auto" w:line="276"/>
        <w:jc w:val="both"/>
        <w:rPr>
          <w:b/>
          <w:bCs/>
          <w:sz w:val="22"/>
          <w:szCs w:val="22"/>
        </w:rPr>
      </w:pPr>
      <w:r>
        <w:rPr>
          <w:sz w:val="22"/>
          <w:szCs w:val="22"/>
        </w:rPr>
        <w:t>11</w:t>
      </w:r>
      <w:r>
        <w:rPr>
          <w:b/>
          <w:bCs/>
          <w:sz w:val="22"/>
          <w:szCs w:val="22"/>
          <w:u w:val="single"/>
        </w:rPr>
        <w:t>. Na zapleczu przewiduje się segregowanie śmieci.</w:t>
      </w:r>
      <w:r>
        <w:rPr>
          <w:b/>
          <w:bCs/>
          <w:sz w:val="22"/>
          <w:szCs w:val="22"/>
        </w:rPr>
        <w:t xml:space="preserve"> </w:t>
      </w:r>
      <w:r>
        <w:rPr>
          <w:sz w:val="22"/>
          <w:szCs w:val="22"/>
        </w:rPr>
        <w:t>Lokalizacje koszy na odpady umieszczone na rysunku aranżacji, zgodnie z rysunkiem oznaczono: Z (zmieszane/pozostałe), M (metal/plastik/tworzywa sztuczne), P (papier), S (szkło)</w:t>
      </w:r>
      <w:r>
        <w:rPr/>
        <w:br/>
      </w:r>
      <w:r>
        <w:rPr>
          <w:bCs/>
          <w:sz w:val="22"/>
          <w:szCs w:val="22"/>
        </w:rPr>
        <w:t>12. Drzwi zaplecza należy przewidzieć z samozamykaczem, niewidocznym od strony Sali sprzedaży.</w:t>
      </w:r>
    </w:p>
    <w:p>
      <w:pPr>
        <w:pStyle w:val="Standard"/>
        <w:spacing w:lineRule="auto" w:line="276"/>
        <w:jc w:val="both"/>
        <w:rPr>
          <w:b/>
          <w:bCs/>
          <w:sz w:val="22"/>
          <w:szCs w:val="22"/>
        </w:rPr>
      </w:pPr>
      <w:r>
        <w:rPr>
          <w:b/>
          <w:bCs/>
          <w:sz w:val="22"/>
          <w:szCs w:val="22"/>
        </w:rPr>
        <w:t xml:space="preserve">13. Prowadzenie jakichkolwiek instalacji w istniejących ścianach wydzielających lokal jest zabronione. </w:t>
      </w:r>
    </w:p>
    <w:p>
      <w:pPr>
        <w:pStyle w:val="Standard"/>
        <w:spacing w:lineRule="auto" w:line="276"/>
        <w:jc w:val="both"/>
        <w:rPr>
          <w:b/>
          <w:bCs/>
          <w:sz w:val="22"/>
          <w:szCs w:val="22"/>
        </w:rPr>
      </w:pPr>
      <w:r>
        <w:rPr>
          <w:b/>
          <w:bCs/>
          <w:sz w:val="22"/>
          <w:szCs w:val="22"/>
        </w:rPr>
        <w:t>14. Projekt został skoordynowany międzybranżowo.</w:t>
      </w:r>
    </w:p>
    <w:p>
      <w:pPr>
        <w:pStyle w:val="Standard"/>
        <w:spacing w:lineRule="auto" w:line="276"/>
        <w:jc w:val="both"/>
        <w:rPr>
          <w:sz w:val="22"/>
          <w:szCs w:val="22"/>
        </w:rPr>
      </w:pPr>
      <w:r>
        <w:rPr>
          <w:sz w:val="22"/>
          <w:szCs w:val="22"/>
        </w:rPr>
      </w:r>
    </w:p>
    <w:p>
      <w:pPr>
        <w:pStyle w:val="Standard"/>
        <w:spacing w:lineRule="auto" w:line="276"/>
        <w:ind w:left="5664" w:hanging="0"/>
        <w:jc w:val="both"/>
        <w:rPr>
          <w:sz w:val="22"/>
          <w:szCs w:val="22"/>
        </w:rPr>
      </w:pPr>
      <w:r>
        <w:rPr>
          <w:sz w:val="22"/>
          <w:szCs w:val="22"/>
        </w:rPr>
        <w:t>opracowali: wg strony tytułowej</w:t>
      </w:r>
      <w:r>
        <w:br w:type="page"/>
      </w:r>
    </w:p>
    <w:p>
      <w:pPr>
        <w:pStyle w:val="Standard"/>
        <w:rPr/>
      </w:pPr>
      <w:r>
        <w:rPr/>
        <w:t>ZAŁĄCZNIKI</w:t>
        <w:br/>
        <w:br/>
        <w:t xml:space="preserve">1. Deklaracje właściwości użytkowych Duripanel i Burnblock. </w:t>
      </w:r>
    </w:p>
    <w:p>
      <w:pPr>
        <w:pStyle w:val="Standard"/>
        <w:rPr/>
      </w:pPr>
      <w:r>
        <w:rPr/>
        <w:t>2. Analiza natężenia oświetlenia w lokalu.</w:t>
        <w:br/>
        <w:br/>
      </w:r>
    </w:p>
    <w:p>
      <w:pPr>
        <w:pStyle w:val="Normal"/>
        <w:rPr>
          <w:rFonts w:ascii="Arial" w:hAnsi="Arial" w:eastAsia="Arial" w:cs="Arial"/>
          <w:lang w:bidi="pl-PL"/>
        </w:rPr>
      </w:pPr>
      <w:r>
        <w:rPr/>
        <w:br/>
      </w:r>
    </w:p>
    <w:p>
      <w:pPr>
        <w:pStyle w:val="Standard"/>
        <w:jc w:val="both"/>
        <w:rPr/>
      </w:pPr>
      <w:r>
        <w:rPr/>
      </w:r>
    </w:p>
    <w:p>
      <w:pPr>
        <w:pStyle w:val="Normal"/>
        <w:jc w:val="both"/>
        <w:rPr>
          <w:rFonts w:ascii="Arial" w:hAnsi="Arial" w:eastAsia="Arial" w:cs="Arial"/>
          <w:lang w:bidi="pl-PL"/>
        </w:rPr>
      </w:pPr>
      <w:r>
        <w:rPr>
          <w:rFonts w:eastAsia="Arial" w:cs="Arial" w:ascii="Arial" w:hAnsi="Arial"/>
          <w:lang w:bidi="pl-PL"/>
        </w:rPr>
      </w:r>
      <w:r>
        <w:br w:type="page"/>
      </w:r>
    </w:p>
    <w:p>
      <w:pPr>
        <w:pStyle w:val="Standard"/>
        <w:jc w:val="both"/>
        <w:rPr/>
      </w:pPr>
      <w:r>
        <w:rPr/>
        <w:t>RYSUNKI</w:t>
      </w:r>
    </w:p>
    <w:p>
      <w:pPr>
        <w:pStyle w:val="Standard"/>
        <w:jc w:val="both"/>
        <w:rPr>
          <w:sz w:val="32"/>
          <w:szCs w:val="32"/>
        </w:rPr>
      </w:pPr>
      <w:r>
        <w:rPr>
          <w:sz w:val="32"/>
          <w:szCs w:val="32"/>
        </w:rPr>
      </w:r>
    </w:p>
    <w:p>
      <w:pPr>
        <w:pStyle w:val="Standard"/>
        <w:jc w:val="both"/>
        <w:rPr>
          <w:sz w:val="32"/>
          <w:szCs w:val="32"/>
        </w:rPr>
      </w:pPr>
      <w:r>
        <w:rPr/>
      </w:r>
    </w:p>
    <w:sectPr>
      <w:headerReference w:type="default" r:id="rId9"/>
      <w:footerReference w:type="default" r:id="rId10"/>
      <w:type w:val="nextPage"/>
      <w:pgSz w:w="12240" w:h="15840"/>
      <w:pgMar w:left="1800" w:right="1800" w:gutter="0" w:header="708" w:top="1440" w:footer="708"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01"/>
    <w:family w:val="auto"/>
    <w:pitch w:val="default"/>
  </w:font>
  <w:font w:name="Arial">
    <w:charset w:val="01"/>
    <w:family w:val="auto"/>
    <w:pitch w:val="default"/>
  </w:font>
  <w:font w:name="Tahoma">
    <w:charset w:val="01"/>
    <w:family w:val="auto"/>
    <w:pitch w:val="default"/>
  </w:font>
  <w:font w:name="Liberation Sans">
    <w:altName w:val="Arial"/>
    <w:charset w:val="01"/>
    <w:family w:val="auto"/>
    <w:pitch w:val="default"/>
  </w:font>
  <w:font w:name="Gulim">
    <w:charset w:val="01"/>
    <w:family w:val="auto"/>
    <w:pitch w:val="default"/>
  </w:font>
  <w:font w:name="Liberation Mono">
    <w:altName w:val="Courier New"/>
    <w:charset w:val="01"/>
    <w:family w:val="auto"/>
    <w:pitch w:val="default"/>
  </w:font>
  <w:font w:name="Calibri">
    <w:charset w:val="01"/>
    <w:family w:val="auto"/>
    <w:pitch w:val="default"/>
  </w:font>
  <w:font w:name="Calibri Light">
    <w:charset w:val="01"/>
    <w:family w:val="auto"/>
    <w:pitch w:val="default"/>
  </w:font>
  <w:font w:name="Arial">
    <w:altName w:val="Helvetica"/>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39620043"/>
    </w:sdtPr>
    <w:sdtContent>
      <w:p>
        <w:pPr>
          <w:pStyle w:val="Stopka"/>
          <w:jc w:val="center"/>
          <w:rPr/>
        </w:pPr>
        <w:r>
          <w:rPr/>
          <w:fldChar w:fldCharType="begin"/>
        </w:r>
        <w:r>
          <w:rPr/>
          <w:instrText xml:space="preserve"> PAGE </w:instrText>
        </w:r>
        <w:r>
          <w:rPr/>
          <w:fldChar w:fldCharType="separate"/>
        </w:r>
        <w:r>
          <w:rPr/>
          <w:t>1</w:t>
        </w:r>
        <w:r>
          <w:rPr/>
          <w:fldChar w:fldCharType="end"/>
        </w:r>
      </w:p>
    </w:sdtContent>
  </w:sdt>
  <w:p>
    <w:pPr>
      <w:pStyle w:val="Stopk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44340714"/>
    </w:sdtPr>
    <w:sdtContent>
      <w:p>
        <w:pPr>
          <w:pStyle w:val="Stopka"/>
          <w:jc w:val="center"/>
          <w:rPr/>
        </w:pPr>
        <w:r>
          <w:rPr/>
          <w:fldChar w:fldCharType="begin"/>
        </w:r>
        <w:r>
          <w:rPr/>
          <w:instrText xml:space="preserve"> PAGE </w:instrText>
        </w:r>
        <w:r>
          <w:rPr/>
          <w:fldChar w:fldCharType="separate"/>
        </w:r>
        <w:r>
          <w:rPr/>
          <w:t>30</w:t>
        </w:r>
        <w:r>
          <w:rPr/>
          <w:fldChar w:fldCharType="end"/>
        </w:r>
      </w:p>
    </w:sdtContent>
  </w:sdt>
  <w:p>
    <w:pPr>
      <w:pStyle w:val="Stopka"/>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8640"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2880"/>
      <w:gridCol w:w="2880"/>
      <w:gridCol w:w="2880"/>
    </w:tblGrid>
    <w:tr>
      <w:trPr/>
      <w:tc>
        <w:tcPr>
          <w:tcW w:w="2880" w:type="dxa"/>
          <w:tcBorders/>
        </w:tcPr>
        <w:p>
          <w:pPr>
            <w:pStyle w:val="Gwka"/>
            <w:widowControl w:val="false"/>
            <w:spacing w:before="240" w:after="120"/>
            <w:rPr>
              <w:i/>
              <w:i/>
              <w:sz w:val="18"/>
              <w:szCs w:val="18"/>
            </w:rPr>
          </w:pPr>
          <w:r>
            <w:rPr>
              <w:i/>
              <w:sz w:val="18"/>
              <w:szCs w:val="18"/>
            </w:rPr>
          </w:r>
        </w:p>
        <w:p>
          <w:pPr>
            <w:pStyle w:val="Gwka"/>
            <w:widowControl w:val="false"/>
            <w:spacing w:before="240" w:after="120"/>
            <w:ind w:left="-115" w:hanging="0"/>
            <w:rPr/>
          </w:pPr>
          <w:r>
            <w:rPr/>
          </w:r>
        </w:p>
      </w:tc>
      <w:tc>
        <w:tcPr>
          <w:tcW w:w="2880" w:type="dxa"/>
          <w:tcBorders/>
        </w:tcPr>
        <w:p>
          <w:pPr>
            <w:pStyle w:val="Gwka"/>
            <w:widowControl w:val="false"/>
            <w:spacing w:before="240" w:after="120"/>
            <w:jc w:val="center"/>
            <w:rPr/>
          </w:pPr>
          <w:r>
            <w:rPr/>
          </w:r>
        </w:p>
      </w:tc>
      <w:tc>
        <w:tcPr>
          <w:tcW w:w="2880" w:type="dxa"/>
          <w:tcBorders/>
        </w:tcPr>
        <w:p>
          <w:pPr>
            <w:pStyle w:val="Gwka"/>
            <w:widowControl w:val="false"/>
            <w:spacing w:before="240" w:after="120"/>
            <w:ind w:right="-115" w:hanging="0"/>
            <w:jc w:val="right"/>
            <w:rPr/>
          </w:pPr>
          <w:r>
            <w:rPr/>
          </w:r>
        </w:p>
      </w:tc>
    </w:tr>
  </w:tbl>
  <w:p>
    <w:pPr>
      <w:pStyle w:val="Gwka"/>
      <w:keepNext w:val="true"/>
      <w:spacing w:before="24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12149"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8471"/>
      <w:gridCol w:w="565"/>
      <w:gridCol w:w="3113"/>
    </w:tblGrid>
    <w:tr>
      <w:trPr>
        <w:trHeight w:val="680" w:hRule="atLeast"/>
      </w:trPr>
      <w:tc>
        <w:tcPr>
          <w:tcW w:w="8471" w:type="dxa"/>
          <w:tcBorders/>
        </w:tcPr>
        <w:p>
          <w:pPr>
            <w:pStyle w:val="Gwka"/>
            <w:widowControl w:val="false"/>
            <w:spacing w:before="240" w:after="120"/>
            <w:ind w:right="-1784" w:hanging="0"/>
            <w:rPr>
              <w:i/>
              <w:i/>
              <w:sz w:val="18"/>
              <w:szCs w:val="18"/>
            </w:rPr>
          </w:pPr>
          <w:r>
            <w:rPr>
              <w:i/>
              <w:sz w:val="18"/>
              <w:szCs w:val="18"/>
            </w:rPr>
          </w:r>
        </w:p>
      </w:tc>
      <w:tc>
        <w:tcPr>
          <w:tcW w:w="565" w:type="dxa"/>
          <w:tcBorders/>
        </w:tcPr>
        <w:p>
          <w:pPr>
            <w:pStyle w:val="Gwka"/>
            <w:widowControl w:val="false"/>
            <w:spacing w:before="240" w:after="120"/>
            <w:jc w:val="center"/>
            <w:rPr/>
          </w:pPr>
          <w:r>
            <w:rPr/>
          </w:r>
        </w:p>
      </w:tc>
      <w:tc>
        <w:tcPr>
          <w:tcW w:w="3113" w:type="dxa"/>
          <w:tcBorders/>
        </w:tcPr>
        <w:p>
          <w:pPr>
            <w:pStyle w:val="Gwka"/>
            <w:widowControl w:val="false"/>
            <w:spacing w:before="240" w:after="120"/>
            <w:ind w:right="-115" w:hanging="0"/>
            <w:jc w:val="right"/>
            <w:rPr/>
          </w:pPr>
          <w:r>
            <w:rPr/>
          </w:r>
        </w:p>
      </w:tc>
    </w:tr>
  </w:tbl>
  <w:p>
    <w:pPr>
      <w:pStyle w:val="Gwka"/>
      <w:keepNext w:val="true"/>
      <w:spacing w:before="240" w:after="120"/>
      <w:rPr/>
    </w:pP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
    <w:lvl w:ilvl="0">
      <w:start w:val="1"/>
      <w:numFmt w:val="decimal"/>
      <w:lvlText w:val=""/>
      <w:lvlJc w:val="left"/>
      <w:pPr>
        <w:tabs>
          <w:tab w:val="num" w:pos="0"/>
        </w:tabs>
        <w:ind w:left="0" w:hanging="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
    <w:lvl w:ilvl="0">
      <w:start w:val="1"/>
      <w:numFmt w:val="decimal"/>
      <w:lvlText w:val=""/>
      <w:lvlJc w:val="left"/>
      <w:pPr>
        <w:tabs>
          <w:tab w:val="num" w:pos="0"/>
        </w:tabs>
        <w:ind w:left="0" w:hanging="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
    <w:lvl w:ilvl="0">
      <w:start w:val="1"/>
      <w:numFmt w:val="decimal"/>
      <w:lvlText w:val=""/>
      <w:lvlJc w:val="left"/>
      <w:pPr>
        <w:tabs>
          <w:tab w:val="num" w:pos="0"/>
        </w:tabs>
        <w:ind w:left="0" w:hanging="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
    <w:lvl w:ilvl="0">
      <w:start w:val="1"/>
      <w:numFmt w:val="decimal"/>
      <w:lvlText w:val=""/>
      <w:lvlJc w:val="left"/>
      <w:pPr>
        <w:tabs>
          <w:tab w:val="num" w:pos="0"/>
        </w:tabs>
        <w:ind w:left="0" w:hanging="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6">
    <w:lvl w:ilvl="0">
      <w:start w:val="1"/>
      <w:numFmt w:val="bullet"/>
      <w:lvlText w:val=""/>
      <w:lvlJc w:val="left"/>
      <w:pPr>
        <w:tabs>
          <w:tab w:val="num" w:pos="0"/>
        </w:tabs>
        <w:ind w:left="720" w:hanging="360"/>
      </w:pPr>
      <w:rPr>
        <w:rFonts w:ascii="Symbol" w:hAnsi="Symbol" w:cs="Symbol" w:hint="default"/>
        <w:sz w:val="20"/>
        <w:szCs w:val="2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suff w:val="nothing"/>
      <w:lvlText w:val="%1."/>
      <w:lvlJc w:val="left"/>
      <w:pPr>
        <w:tabs>
          <w:tab w:val="num" w:pos="0"/>
        </w:tabs>
        <w:ind w:left="709" w:hanging="0"/>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10"/>
  <w:defaultTabStop w:val="708"/>
  <w:autoHyphenation w:val="true"/>
  <w:hyphenationZone w:val="425"/>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ahoma"/>
        <w:kern w:val="2"/>
        <w:sz w:val="24"/>
        <w:szCs w:val="24"/>
        <w:lang w:val="pl-PL" w:eastAsia="pl-PL"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71a89"/>
    <w:pPr>
      <w:widowControl w:val="false"/>
      <w:suppressAutoHyphens w:val="true"/>
      <w:bidi w:val="0"/>
      <w:spacing w:before="0" w:after="0"/>
      <w:jc w:val="left"/>
      <w:textAlignment w:val="baseline"/>
    </w:pPr>
    <w:rPr>
      <w:rFonts w:ascii="Times New Roman" w:hAnsi="Times New Roman" w:eastAsia="Arial Unicode MS" w:cs="Tahoma"/>
      <w:color w:val="auto"/>
      <w:kern w:val="2"/>
      <w:sz w:val="24"/>
      <w:szCs w:val="24"/>
      <w:lang w:val="pl-PL" w:eastAsia="pl-PL" w:bidi="ar-SA"/>
    </w:rPr>
  </w:style>
  <w:style w:type="paragraph" w:styleId="Nagwek1">
    <w:name w:val="Heading 1"/>
    <w:basedOn w:val="Normal"/>
    <w:next w:val="Normal"/>
    <w:link w:val="Nagwek1Znak"/>
    <w:qFormat/>
    <w:rsid w:val="00920b0b"/>
    <w:pPr>
      <w:keepNext w:val="true"/>
      <w:spacing w:before="240" w:after="60"/>
      <w:textAlignment w:val="auto"/>
      <w:outlineLvl w:val="0"/>
    </w:pPr>
    <w:rPr>
      <w:rFonts w:ascii="Arial" w:hAnsi="Arial" w:eastAsia="Arial" w:cs="Arial"/>
      <w:b/>
      <w:bCs/>
      <w:sz w:val="32"/>
      <w:szCs w:val="32"/>
      <w:lang w:bidi="pl-PL"/>
    </w:rPr>
  </w:style>
  <w:style w:type="paragraph" w:styleId="Nagwek2">
    <w:name w:val="Heading 2"/>
    <w:basedOn w:val="Normal"/>
    <w:next w:val="Normal"/>
    <w:link w:val="Nagwek2Znak"/>
    <w:qFormat/>
    <w:rsid w:val="00920b0b"/>
    <w:pPr>
      <w:keepNext w:val="true"/>
      <w:spacing w:before="240" w:after="60"/>
      <w:textAlignment w:val="auto"/>
      <w:outlineLvl w:val="1"/>
    </w:pPr>
    <w:rPr>
      <w:rFonts w:ascii="Arial" w:hAnsi="Arial" w:eastAsia="Arial" w:cs="Arial"/>
      <w:b/>
      <w:bCs/>
      <w:i/>
      <w:iCs/>
      <w:kern w:val="0"/>
      <w:sz w:val="28"/>
      <w:szCs w:val="28"/>
      <w:lang w:bidi="pl-PL"/>
    </w:rPr>
  </w:style>
  <w:style w:type="character" w:styleId="DefaultParagraphFont" w:default="1">
    <w:name w:val="Default Paragraph Font"/>
    <w:uiPriority w:val="1"/>
    <w:semiHidden/>
    <w:unhideWhenUsed/>
    <w:qFormat/>
    <w:rPr/>
  </w:style>
  <w:style w:type="character" w:styleId="WW8Num1z0" w:customStyle="1">
    <w:name w:val="WW8Num1z0"/>
    <w:qFormat/>
    <w:rsid w:val="00a71a89"/>
    <w:rPr>
      <w:rFonts w:ascii="Arial" w:hAnsi="Arial"/>
    </w:rPr>
  </w:style>
  <w:style w:type="character" w:styleId="Absatz-Standardschriftart" w:customStyle="1">
    <w:name w:val="Absatz-Standardschriftart"/>
    <w:qFormat/>
    <w:rsid w:val="00a71a89"/>
    <w:rPr/>
  </w:style>
  <w:style w:type="character" w:styleId="RTFNum21" w:customStyle="1">
    <w:name w:val="RTF_Num 2 1"/>
    <w:qFormat/>
    <w:rsid w:val="00a71a89"/>
    <w:rPr>
      <w:rFonts w:ascii="Arial" w:hAnsi="Arial"/>
    </w:rPr>
  </w:style>
  <w:style w:type="character" w:styleId="Znakinumeracji" w:customStyle="1">
    <w:name w:val="Znaki numeracji"/>
    <w:qFormat/>
    <w:rsid w:val="00a71a89"/>
    <w:rPr/>
  </w:style>
  <w:style w:type="character" w:styleId="TekstdymkaZnak" w:customStyle="1">
    <w:name w:val="Tekst dymka Znak"/>
    <w:basedOn w:val="DefaultParagraphFont"/>
    <w:link w:val="BalloonText"/>
    <w:uiPriority w:val="99"/>
    <w:semiHidden/>
    <w:qFormat/>
    <w:rsid w:val="000b7f04"/>
    <w:rPr>
      <w:rFonts w:ascii="Tahoma" w:hAnsi="Tahoma"/>
      <w:sz w:val="16"/>
      <w:szCs w:val="16"/>
    </w:rPr>
  </w:style>
  <w:style w:type="character" w:styleId="WW-Absatz-Standardschriftart111111111111" w:customStyle="1">
    <w:name w:val="WW-Absatz-Standardschriftart111111111111"/>
    <w:qFormat/>
    <w:rsid w:val="00791230"/>
    <w:rPr/>
  </w:style>
  <w:style w:type="character" w:styleId="Nagwek1Znak" w:customStyle="1">
    <w:name w:val="Nagłówek 1 Znak"/>
    <w:basedOn w:val="DefaultParagraphFont"/>
    <w:qFormat/>
    <w:rsid w:val="00920b0b"/>
    <w:rPr>
      <w:rFonts w:ascii="Arial" w:hAnsi="Arial" w:eastAsia="Arial" w:cs="Arial"/>
      <w:b/>
      <w:bCs/>
      <w:kern w:val="2"/>
      <w:sz w:val="32"/>
      <w:szCs w:val="32"/>
      <w:lang w:bidi="pl-PL"/>
    </w:rPr>
  </w:style>
  <w:style w:type="character" w:styleId="Nagwek2Znak" w:customStyle="1">
    <w:name w:val="Nagłówek 2 Znak"/>
    <w:basedOn w:val="DefaultParagraphFont"/>
    <w:qFormat/>
    <w:rsid w:val="00920b0b"/>
    <w:rPr>
      <w:rFonts w:ascii="Arial" w:hAnsi="Arial" w:eastAsia="Arial" w:cs="Arial"/>
      <w:b/>
      <w:bCs/>
      <w:i/>
      <w:iCs/>
      <w:kern w:val="0"/>
      <w:sz w:val="28"/>
      <w:szCs w:val="28"/>
      <w:lang w:bidi="pl-PL"/>
    </w:rPr>
  </w:style>
  <w:style w:type="character" w:styleId="Pagenumber">
    <w:name w:val="page number"/>
    <w:basedOn w:val="DefaultParagraphFont"/>
    <w:qFormat/>
    <w:rsid w:val="00920b0b"/>
    <w:rPr/>
  </w:style>
  <w:style w:type="character" w:styleId="Czeinternetowe">
    <w:name w:val="Hyperlink"/>
    <w:uiPriority w:val="99"/>
    <w:rsid w:val="00920b0b"/>
    <w:rPr>
      <w:color w:val="0000FF"/>
      <w:u w:val="single"/>
    </w:rPr>
  </w:style>
  <w:style w:type="character" w:styleId="StopkaZnak" w:customStyle="1">
    <w:name w:val="Stopka Znak"/>
    <w:basedOn w:val="DefaultParagraphFont"/>
    <w:uiPriority w:val="99"/>
    <w:qFormat/>
    <w:rsid w:val="00041303"/>
    <w:rPr>
      <w:rFonts w:ascii="Arial" w:hAnsi="Arial" w:eastAsia="Arial" w:cs="Arial"/>
      <w:lang w:bidi="pl-PL"/>
    </w:rPr>
  </w:style>
  <w:style w:type="character" w:styleId="TekstpodstawowyZnak" w:customStyle="1">
    <w:name w:val="Tekst podstawowy Znak"/>
    <w:basedOn w:val="DefaultParagraphFont"/>
    <w:link w:val="Textbody"/>
    <w:semiHidden/>
    <w:qFormat/>
    <w:rsid w:val="00e60c68"/>
    <w:rPr>
      <w:rFonts w:ascii="Arial" w:hAnsi="Arial" w:eastAsia="Times New Roman" w:cs="Arial"/>
      <w:color w:val="FF6600"/>
      <w:kern w:val="0"/>
    </w:rPr>
  </w:style>
  <w:style w:type="character" w:styleId="TytuZnak" w:customStyle="1">
    <w:name w:val="Tytuł Znak"/>
    <w:basedOn w:val="DefaultParagraphFont"/>
    <w:uiPriority w:val="10"/>
    <w:qFormat/>
    <w:rsid w:val="00e60c68"/>
    <w:rPr>
      <w:rFonts w:ascii="Arial" w:hAnsi="Arial" w:eastAsia="Times New Roman" w:cs="Times New Roman"/>
      <w:b/>
      <w:bCs/>
      <w:kern w:val="0"/>
      <w:sz w:val="28"/>
    </w:rPr>
  </w:style>
  <w:style w:type="character" w:styleId="Wyrnienie">
    <w:name w:val="Emphasis"/>
    <w:basedOn w:val="DefaultParagraphFont"/>
    <w:uiPriority w:val="20"/>
    <w:qFormat/>
    <w:rsid w:val="00663e98"/>
    <w:rPr>
      <w:i/>
      <w:iCs/>
    </w:rPr>
  </w:style>
  <w:style w:type="character" w:styleId="NagwekZnak" w:customStyle="1">
    <w:name w:val="Nagłówek Znak"/>
    <w:basedOn w:val="DefaultParagraphFont"/>
    <w:uiPriority w:val="99"/>
    <w:qFormat/>
    <w:rsid w:val="003b6585"/>
    <w:rPr>
      <w:rFonts w:ascii="Arial" w:hAnsi="Arial" w:eastAsia="MS Mincho"/>
      <w:sz w:val="28"/>
      <w:szCs w:val="28"/>
      <w:lang w:bidi="pl-PL"/>
    </w:rPr>
  </w:style>
  <w:style w:type="character" w:styleId="Annotationreference">
    <w:name w:val="annotation reference"/>
    <w:basedOn w:val="DefaultParagraphFont"/>
    <w:uiPriority w:val="99"/>
    <w:semiHidden/>
    <w:unhideWhenUsed/>
    <w:qFormat/>
    <w:rsid w:val="00286c20"/>
    <w:rPr>
      <w:sz w:val="16"/>
      <w:szCs w:val="16"/>
    </w:rPr>
  </w:style>
  <w:style w:type="character" w:styleId="TekstkomentarzaZnak" w:customStyle="1">
    <w:name w:val="Tekst komentarza Znak"/>
    <w:basedOn w:val="DefaultParagraphFont"/>
    <w:link w:val="Annotationtext"/>
    <w:uiPriority w:val="99"/>
    <w:semiHidden/>
    <w:qFormat/>
    <w:rsid w:val="00286c20"/>
    <w:rPr>
      <w:sz w:val="20"/>
      <w:szCs w:val="20"/>
    </w:rPr>
  </w:style>
  <w:style w:type="character" w:styleId="TematkomentarzaZnak" w:customStyle="1">
    <w:name w:val="Temat komentarza Znak"/>
    <w:basedOn w:val="TekstkomentarzaZnak"/>
    <w:link w:val="Annotationsubject"/>
    <w:uiPriority w:val="99"/>
    <w:semiHidden/>
    <w:qFormat/>
    <w:rsid w:val="00286c20"/>
    <w:rPr>
      <w:b/>
      <w:bCs/>
      <w:sz w:val="20"/>
      <w:szCs w:val="20"/>
    </w:rPr>
  </w:style>
  <w:style w:type="character" w:styleId="Czeindeksu" w:customStyle="1">
    <w:name w:val="Łącze indeksu"/>
    <w:qFormat/>
    <w:rPr/>
  </w:style>
  <w:style w:type="character" w:styleId="Linenumber">
    <w:name w:val="line number"/>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semiHidden/>
    <w:rsid w:val="00e60c68"/>
    <w:pPr>
      <w:widowControl/>
      <w:suppressAutoHyphens w:val="false"/>
      <w:jc w:val="both"/>
      <w:textAlignment w:val="auto"/>
    </w:pPr>
    <w:rPr>
      <w:rFonts w:ascii="Arial" w:hAnsi="Arial" w:eastAsia="Times New Roman" w:cs="Arial"/>
      <w:color w:val="FF6600"/>
      <w:kern w:val="0"/>
    </w:rPr>
  </w:style>
  <w:style w:type="paragraph" w:styleId="Lista">
    <w:name w:val="List"/>
    <w:basedOn w:val="Textbody"/>
    <w:rsid w:val="00a71a89"/>
    <w:pPr/>
    <w:rPr>
      <w:rFonts w:cs="Tahoma"/>
    </w:rPr>
  </w:style>
  <w:style w:type="paragraph" w:styleId="Podpis">
    <w:name w:val="Caption"/>
    <w:basedOn w:val="Normal"/>
    <w:qFormat/>
    <w:pPr>
      <w:suppressLineNumbers/>
      <w:spacing w:before="120" w:after="120"/>
    </w:pPr>
    <w:rPr>
      <w:rFonts w:ascii="Gulim" w:hAnsi="Gulim" w:cs="Arial"/>
      <w:i/>
      <w:iCs/>
      <w:sz w:val="24"/>
      <w:szCs w:val="24"/>
    </w:rPr>
  </w:style>
  <w:style w:type="paragraph" w:styleId="Indeks" w:customStyle="1">
    <w:name w:val="Indeks"/>
    <w:basedOn w:val="Standard"/>
    <w:qFormat/>
    <w:rsid w:val="00a71a89"/>
    <w:pPr>
      <w:suppressLineNumbers/>
    </w:pPr>
    <w:rPr>
      <w:rFonts w:cs="Tahoma"/>
    </w:rPr>
  </w:style>
  <w:style w:type="paragraph" w:styleId="Gwkaistopka" w:customStyle="1">
    <w:name w:val="Główka i stopka"/>
    <w:basedOn w:val="Normal"/>
    <w:qFormat/>
    <w:pPr/>
    <w:rPr/>
  </w:style>
  <w:style w:type="paragraph" w:styleId="Gwka">
    <w:name w:val="Header"/>
    <w:basedOn w:val="Standard"/>
    <w:next w:val="Textbody"/>
    <w:link w:val="NagwekZnak"/>
    <w:uiPriority w:val="99"/>
    <w:rsid w:val="00a71a89"/>
    <w:pPr>
      <w:keepNext w:val="true"/>
      <w:spacing w:before="240" w:after="120"/>
    </w:pPr>
    <w:rPr>
      <w:rFonts w:eastAsia="MS Mincho" w:cs="Tahoma"/>
      <w:sz w:val="28"/>
      <w:szCs w:val="28"/>
    </w:rPr>
  </w:style>
  <w:style w:type="paragraph" w:styleId="Caption">
    <w:name w:val="caption"/>
    <w:basedOn w:val="Normal"/>
    <w:qFormat/>
    <w:pPr>
      <w:suppressLineNumbers/>
      <w:spacing w:before="120" w:after="120"/>
    </w:pPr>
    <w:rPr>
      <w:rFonts w:cs="Arial"/>
      <w:i/>
      <w:iCs/>
    </w:rPr>
  </w:style>
  <w:style w:type="paragraph" w:styleId="Standard" w:customStyle="1">
    <w:name w:val="Standard"/>
    <w:qFormat/>
    <w:rsid w:val="00a71a89"/>
    <w:pPr>
      <w:widowControl w:val="false"/>
      <w:suppressAutoHyphens w:val="true"/>
      <w:bidi w:val="0"/>
      <w:spacing w:before="0" w:after="0"/>
      <w:jc w:val="left"/>
      <w:textAlignment w:val="baseline"/>
    </w:pPr>
    <w:rPr>
      <w:rFonts w:ascii="Arial" w:hAnsi="Arial" w:eastAsia="Arial" w:cs="Arial"/>
      <w:color w:val="auto"/>
      <w:kern w:val="2"/>
      <w:sz w:val="24"/>
      <w:szCs w:val="24"/>
      <w:lang w:val="pl-PL" w:eastAsia="pl-PL" w:bidi="pl-PL"/>
    </w:rPr>
  </w:style>
  <w:style w:type="paragraph" w:styleId="Textbody" w:customStyle="1">
    <w:name w:val="Text body"/>
    <w:basedOn w:val="Standard"/>
    <w:link w:val="TekstpodstawowyZnak"/>
    <w:qFormat/>
    <w:rsid w:val="00a71a89"/>
    <w:pPr>
      <w:spacing w:before="0" w:after="120"/>
    </w:pPr>
    <w:rPr/>
  </w:style>
  <w:style w:type="paragraph" w:styleId="Caption1" w:customStyle="1">
    <w:name w:val="caption1"/>
    <w:basedOn w:val="Standard"/>
    <w:qFormat/>
    <w:rsid w:val="00a71a89"/>
    <w:pPr>
      <w:suppressLineNumbers/>
      <w:spacing w:before="120" w:after="120"/>
    </w:pPr>
    <w:rPr>
      <w:rFonts w:cs="Tahoma"/>
      <w:i/>
      <w:iCs/>
    </w:rPr>
  </w:style>
  <w:style w:type="paragraph" w:styleId="Nagwek11" w:customStyle="1">
    <w:name w:val="Nagłówek1"/>
    <w:basedOn w:val="Standard"/>
    <w:next w:val="Textbody"/>
    <w:qFormat/>
    <w:rsid w:val="00a71a89"/>
    <w:pPr>
      <w:keepNext w:val="true"/>
      <w:spacing w:before="240" w:after="120"/>
    </w:pPr>
    <w:rPr>
      <w:rFonts w:eastAsia="Lucida Sans Unicode" w:cs="Tahoma"/>
      <w:sz w:val="28"/>
      <w:szCs w:val="28"/>
    </w:rPr>
  </w:style>
  <w:style w:type="paragraph" w:styleId="Podpis1" w:customStyle="1">
    <w:name w:val="Podpis1"/>
    <w:basedOn w:val="Standard"/>
    <w:qFormat/>
    <w:rsid w:val="00a71a89"/>
    <w:pPr>
      <w:suppressLineNumbers/>
      <w:spacing w:before="120" w:after="120"/>
    </w:pPr>
    <w:rPr>
      <w:rFonts w:cs="Tahoma"/>
      <w:i/>
      <w:iCs/>
    </w:rPr>
  </w:style>
  <w:style w:type="paragraph" w:styleId="Zawartotabeli" w:customStyle="1">
    <w:name w:val="Zawartość tabeli"/>
    <w:basedOn w:val="Standard"/>
    <w:qFormat/>
    <w:rsid w:val="00a71a89"/>
    <w:pPr>
      <w:suppressLineNumbers/>
    </w:pPr>
    <w:rPr/>
  </w:style>
  <w:style w:type="paragraph" w:styleId="Nagwektabeli" w:customStyle="1">
    <w:name w:val="Nagłówek tabeli"/>
    <w:basedOn w:val="Zawartotabeli"/>
    <w:qFormat/>
    <w:rsid w:val="00a71a89"/>
    <w:pPr>
      <w:jc w:val="center"/>
    </w:pPr>
    <w:rPr>
      <w:b/>
      <w:bCs/>
    </w:rPr>
  </w:style>
  <w:style w:type="paragraph" w:styleId="Stopka">
    <w:name w:val="Footer"/>
    <w:basedOn w:val="Standard"/>
    <w:link w:val="StopkaZnak"/>
    <w:uiPriority w:val="99"/>
    <w:rsid w:val="00a71a89"/>
    <w:pPr>
      <w:tabs>
        <w:tab w:val="clear" w:pos="708"/>
        <w:tab w:val="center" w:pos="4536" w:leader="none"/>
        <w:tab w:val="right" w:pos="9072" w:leader="none"/>
      </w:tabs>
    </w:pPr>
    <w:rPr/>
  </w:style>
  <w:style w:type="paragraph" w:styleId="BalloonText">
    <w:name w:val="Balloon Text"/>
    <w:basedOn w:val="Normal"/>
    <w:link w:val="TekstdymkaZnak"/>
    <w:uiPriority w:val="99"/>
    <w:semiHidden/>
    <w:unhideWhenUsed/>
    <w:qFormat/>
    <w:rsid w:val="000b7f04"/>
    <w:pPr/>
    <w:rPr>
      <w:rFonts w:ascii="Tahoma" w:hAnsi="Tahoma"/>
      <w:sz w:val="16"/>
      <w:szCs w:val="16"/>
    </w:rPr>
  </w:style>
  <w:style w:type="paragraph" w:styleId="WW-Default1" w:customStyle="1">
    <w:name w:val="WW-Default1"/>
    <w:basedOn w:val="Normal"/>
    <w:qFormat/>
    <w:rsid w:val="00791230"/>
    <w:pPr>
      <w:tabs>
        <w:tab w:val="clear" w:pos="708"/>
        <w:tab w:val="left" w:pos="0" w:leader="none"/>
      </w:tabs>
      <w:textAlignment w:val="auto"/>
    </w:pPr>
    <w:rPr>
      <w:rFonts w:ascii="Arial" w:hAnsi="Arial" w:eastAsia="Arial" w:cs="Arial"/>
      <w:kern w:val="0"/>
      <w:lang w:val="en-US" w:bidi="pl-PL"/>
    </w:rPr>
  </w:style>
  <w:style w:type="paragraph" w:styleId="Spistreci1">
    <w:name w:val="TOC 1"/>
    <w:basedOn w:val="Normal"/>
    <w:next w:val="Normal"/>
    <w:semiHidden/>
    <w:rsid w:val="00920b0b"/>
    <w:pPr>
      <w:textAlignment w:val="auto"/>
    </w:pPr>
    <w:rPr>
      <w:rFonts w:ascii="Arial" w:hAnsi="Arial" w:eastAsia="Arial" w:cs="Arial"/>
      <w:kern w:val="0"/>
      <w:lang w:bidi="pl-PL"/>
    </w:rPr>
  </w:style>
  <w:style w:type="paragraph" w:styleId="Spistreci2">
    <w:name w:val="TOC 2"/>
    <w:basedOn w:val="Normal"/>
    <w:next w:val="Normal"/>
    <w:uiPriority w:val="39"/>
    <w:rsid w:val="00920b0b"/>
    <w:pPr>
      <w:ind w:left="240" w:hanging="0"/>
      <w:textAlignment w:val="auto"/>
    </w:pPr>
    <w:rPr>
      <w:rFonts w:ascii="Arial" w:hAnsi="Arial" w:eastAsia="Arial" w:cs="Arial"/>
      <w:kern w:val="0"/>
      <w:lang w:bidi="pl-PL"/>
    </w:rPr>
  </w:style>
  <w:style w:type="paragraph" w:styleId="Tytu">
    <w:name w:val="Title"/>
    <w:basedOn w:val="Normal"/>
    <w:link w:val="TytuZnak"/>
    <w:uiPriority w:val="10"/>
    <w:qFormat/>
    <w:rsid w:val="00e60c68"/>
    <w:pPr>
      <w:widowControl/>
      <w:suppressAutoHyphens w:val="false"/>
      <w:ind w:left="-720" w:hanging="0"/>
      <w:jc w:val="center"/>
      <w:textAlignment w:val="auto"/>
    </w:pPr>
    <w:rPr>
      <w:rFonts w:ascii="Arial" w:hAnsi="Arial" w:eastAsia="Times New Roman" w:cs="Times New Roman"/>
      <w:b/>
      <w:bCs/>
      <w:kern w:val="0"/>
      <w:sz w:val="28"/>
    </w:rPr>
  </w:style>
  <w:style w:type="paragraph" w:styleId="Default" w:customStyle="1">
    <w:name w:val="Default"/>
    <w:qFormat/>
    <w:rsid w:val="006317c4"/>
    <w:pPr>
      <w:widowControl/>
      <w:suppressAutoHyphens w:val="false"/>
      <w:bidi w:val="0"/>
      <w:spacing w:before="0" w:after="0"/>
      <w:jc w:val="left"/>
    </w:pPr>
    <w:rPr>
      <w:rFonts w:ascii="Arial" w:hAnsi="Arial" w:eastAsia="Calibri" w:cs="Arial"/>
      <w:color w:val="000000"/>
      <w:kern w:val="0"/>
      <w:sz w:val="24"/>
      <w:szCs w:val="24"/>
      <w:lang w:val="pl-PL" w:eastAsia="en-US" w:bidi="ar-SA"/>
    </w:rPr>
  </w:style>
  <w:style w:type="paragraph" w:styleId="WW-Default" w:customStyle="1">
    <w:name w:val="WW-Default"/>
    <w:basedOn w:val="Normal"/>
    <w:qFormat/>
    <w:rsid w:val="00c617ac"/>
    <w:pPr>
      <w:tabs>
        <w:tab w:val="clear" w:pos="708"/>
        <w:tab w:val="left" w:pos="0" w:leader="none"/>
      </w:tabs>
      <w:textAlignment w:val="auto"/>
    </w:pPr>
    <w:rPr>
      <w:rFonts w:ascii="Arial" w:hAnsi="Arial" w:eastAsia="Arial" w:cs="Arial"/>
      <w:kern w:val="0"/>
      <w:lang w:val="en-US" w:bidi="pl-PL"/>
    </w:rPr>
  </w:style>
  <w:style w:type="paragraph" w:styleId="DefaultText" w:customStyle="1">
    <w:name w:val="Default Text"/>
    <w:basedOn w:val="Normal"/>
    <w:qFormat/>
    <w:rsid w:val="00c617ac"/>
    <w:pPr>
      <w:tabs>
        <w:tab w:val="clear" w:pos="708"/>
        <w:tab w:val="left" w:pos="0" w:leader="none"/>
      </w:tabs>
      <w:textAlignment w:val="auto"/>
    </w:pPr>
    <w:rPr>
      <w:rFonts w:ascii="Arial" w:hAnsi="Arial" w:eastAsia="Arial" w:cs="Arial"/>
      <w:kern w:val="0"/>
      <w:lang w:val="en-US" w:bidi="pl-PL"/>
    </w:rPr>
  </w:style>
  <w:style w:type="paragraph" w:styleId="Revision">
    <w:name w:val="Revision"/>
    <w:uiPriority w:val="99"/>
    <w:semiHidden/>
    <w:qFormat/>
    <w:rsid w:val="007b5741"/>
    <w:pPr>
      <w:widowControl/>
      <w:suppressAutoHyphens w:val="false"/>
      <w:bidi w:val="0"/>
      <w:spacing w:before="0" w:after="0"/>
      <w:jc w:val="left"/>
    </w:pPr>
    <w:rPr>
      <w:rFonts w:ascii="Times New Roman" w:hAnsi="Times New Roman" w:eastAsia="Arial Unicode MS" w:cs="Tahoma"/>
      <w:color w:val="auto"/>
      <w:kern w:val="2"/>
      <w:sz w:val="24"/>
      <w:szCs w:val="24"/>
      <w:lang w:val="pl-PL" w:eastAsia="pl-PL" w:bidi="ar-SA"/>
    </w:rPr>
  </w:style>
  <w:style w:type="paragraph" w:styleId="Annotationtext">
    <w:name w:val="annotation text"/>
    <w:basedOn w:val="Normal"/>
    <w:link w:val="TekstkomentarzaZnak"/>
    <w:uiPriority w:val="99"/>
    <w:semiHidden/>
    <w:unhideWhenUsed/>
    <w:qFormat/>
    <w:rsid w:val="00286c20"/>
    <w:pPr/>
    <w:rPr>
      <w:sz w:val="20"/>
      <w:szCs w:val="20"/>
    </w:rPr>
  </w:style>
  <w:style w:type="paragraph" w:styleId="Annotationsubject">
    <w:name w:val="annotation subject"/>
    <w:basedOn w:val="Annotationtext"/>
    <w:next w:val="Annotationtext"/>
    <w:link w:val="TematkomentarzaZnak"/>
    <w:uiPriority w:val="99"/>
    <w:semiHidden/>
    <w:unhideWhenUsed/>
    <w:qFormat/>
    <w:rsid w:val="00286c20"/>
    <w:pPr/>
    <w:rPr>
      <w:b/>
      <w:bCs/>
    </w:rPr>
  </w:style>
  <w:style w:type="paragraph" w:styleId="Nagwek10" w:customStyle="1">
    <w:name w:val="Nagłówek 10"/>
    <w:basedOn w:val="Standard"/>
    <w:next w:val="Textbody"/>
    <w:qFormat/>
    <w:rsid w:val="00a71a89"/>
    <w:pPr>
      <w:keepNext w:val="true"/>
      <w:spacing w:before="240" w:after="120"/>
    </w:pPr>
    <w:rPr>
      <w:rFonts w:eastAsia="Lucida Sans Unicode" w:cs="Tahoma"/>
      <w:sz w:val="28"/>
      <w:szCs w:val="28"/>
    </w:rPr>
  </w:style>
  <w:style w:type="paragraph" w:styleId="Tekstwstpniesformatowany" w:customStyle="1">
    <w:name w:val="Tekst wstępnie sformatowany"/>
    <w:basedOn w:val="Normal"/>
    <w:qFormat/>
    <w:pPr/>
    <w:rPr>
      <w:rFonts w:ascii="Liberation Mono" w:hAnsi="Liberation Mono" w:eastAsia="Liberation Mono" w:cs="Liberation Mono"/>
      <w:sz w:val="20"/>
      <w:szCs w:val="20"/>
    </w:rPr>
  </w:style>
  <w:style w:type="numbering" w:styleId="NoList" w:default="1">
    <w:name w:val="No List"/>
    <w:uiPriority w:val="99"/>
    <w:semiHidden/>
    <w:unhideWhenUsed/>
    <w:qFormat/>
  </w:style>
  <w:style w:type="numbering" w:styleId="WW8Num1" w:customStyle="1">
    <w:name w:val="WW8Num1"/>
    <w:qFormat/>
    <w:rsid w:val="00a71a89"/>
  </w:style>
  <w:style w:type="numbering" w:styleId="WW8Num2" w:customStyle="1">
    <w:name w:val="WW8Num2"/>
    <w:qFormat/>
    <w:rsid w:val="00a71a89"/>
  </w:style>
  <w:style w:type="numbering" w:styleId="WW8Num3" w:customStyle="1">
    <w:name w:val="WW8Num3"/>
    <w:qFormat/>
    <w:rsid w:val="00a71a89"/>
  </w:style>
  <w:style w:type="numbering" w:styleId="WW8Num4" w:customStyle="1">
    <w:name w:val="WW8Num4"/>
    <w:qFormat/>
    <w:rsid w:val="00a71a89"/>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AE868-38C3-4776-BC54-68EAC967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Application>LibreOffice/7.5.4.2$Windows_X86_64 LibreOffice_project/36ccfdc35048b057fd9854c757a8b67ec53977b6</Application>
  <AppVersion>15.0000</AppVersion>
  <Pages>30</Pages>
  <Words>4654</Words>
  <Characters>31514</Characters>
  <CharactersWithSpaces>36288</CharactersWithSpaces>
  <Paragraphs>413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2024-08-28T22:51:00Z</dcterms:created>
  <dc:creator>Gość</dc:creator>
  <dc:description/>
  <dc:language>pl-PL</dc:language>
  <cp:lastModifiedBy/>
  <cp:lastPrinted>2024-08-28T20:51:00Z</cp:lastPrinted>
  <dcterms:modified xsi:type="dcterms:W3CDTF">2024-10-15T09:13:02Z</dcterms:modified>
  <cp:revision>107</cp:revision>
  <dc:subject/>
  <dc:title>WARUNKI OCHRONY PRZECIWPOŻAROWEJ OBIEKTU:</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