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24DB" w14:textId="3B09C34E" w:rsidR="00110D36" w:rsidRDefault="003662D8">
      <w:pPr>
        <w:spacing w:line="240" w:lineRule="auto"/>
        <w:ind w:left="-142"/>
        <w:jc w:val="center"/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</w:pPr>
      <w:r w:rsidRPr="00504501"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  <w:t xml:space="preserve">WARUNKI TECHNICZNE </w:t>
      </w:r>
      <w:r w:rsidR="00956D7B" w:rsidRPr="00373BBA">
        <w:rPr>
          <w:rFonts w:asciiTheme="majorHAnsi" w:hAnsiTheme="majorHAnsi" w:cstheme="majorHAnsi"/>
          <w:b/>
          <w:sz w:val="12"/>
          <w:szCs w:val="18"/>
          <w:u w:val="single"/>
          <w:lang w:val="pl-PL"/>
        </w:rPr>
        <w:t>LOKALI</w:t>
      </w:r>
      <w:r w:rsidR="00831A16" w:rsidRPr="00373BBA">
        <w:rPr>
          <w:rFonts w:asciiTheme="majorHAnsi" w:hAnsiTheme="majorHAnsi" w:cstheme="majorHAnsi"/>
          <w:b/>
          <w:sz w:val="12"/>
          <w:szCs w:val="18"/>
          <w:u w:val="single"/>
          <w:lang w:val="pl-PL"/>
        </w:rPr>
        <w:t xml:space="preserve"> </w:t>
      </w:r>
      <w:r w:rsidR="00031B4F" w:rsidRPr="00373BBA">
        <w:rPr>
          <w:rFonts w:asciiTheme="majorHAnsi" w:hAnsiTheme="majorHAnsi" w:cstheme="majorHAnsi"/>
          <w:b/>
          <w:sz w:val="12"/>
          <w:szCs w:val="18"/>
          <w:u w:val="single"/>
          <w:lang w:val="pl-PL"/>
        </w:rPr>
        <w:t>MAŁ</w:t>
      </w:r>
      <w:r w:rsidR="006D6A07" w:rsidRPr="00373BBA">
        <w:rPr>
          <w:rFonts w:asciiTheme="majorHAnsi" w:hAnsiTheme="majorHAnsi" w:cstheme="majorHAnsi"/>
          <w:b/>
          <w:sz w:val="12"/>
          <w:szCs w:val="18"/>
          <w:u w:val="single"/>
          <w:lang w:val="pl-PL"/>
        </w:rPr>
        <w:t>YCH</w:t>
      </w:r>
      <w:r w:rsidR="00031B4F" w:rsidRPr="00373BBA">
        <w:rPr>
          <w:rFonts w:asciiTheme="majorHAnsi" w:hAnsiTheme="majorHAnsi" w:cstheme="majorHAnsi"/>
          <w:b/>
          <w:sz w:val="12"/>
          <w:szCs w:val="18"/>
          <w:u w:val="single"/>
          <w:lang w:val="pl-PL"/>
        </w:rPr>
        <w:t xml:space="preserve"> &lt;</w:t>
      </w:r>
      <w:r w:rsidR="00956D7B" w:rsidRPr="00373BBA">
        <w:rPr>
          <w:rFonts w:asciiTheme="majorHAnsi" w:hAnsiTheme="majorHAnsi" w:cstheme="majorHAnsi"/>
          <w:b/>
          <w:sz w:val="12"/>
          <w:szCs w:val="18"/>
          <w:u w:val="single"/>
          <w:lang w:val="pl-PL"/>
        </w:rPr>
        <w:t>200m2</w:t>
      </w:r>
    </w:p>
    <w:p w14:paraId="354B6EAD" w14:textId="1409E1D2" w:rsidR="006D6A07" w:rsidRDefault="006D6A07">
      <w:pPr>
        <w:spacing w:line="240" w:lineRule="auto"/>
        <w:ind w:left="-142"/>
        <w:jc w:val="center"/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</w:pPr>
      <w:r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  <w:t>LOKAL</w:t>
      </w:r>
      <w:r w:rsidR="00373BBA"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  <w:t xml:space="preserve"> </w:t>
      </w:r>
      <w:r w:rsidR="00D80C82"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  <w:t>18B</w:t>
      </w:r>
      <w:r w:rsidR="00373BBA"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  <w:t xml:space="preserve"> </w:t>
      </w:r>
      <w:r w:rsidR="00D80C82"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  <w:t>WAKACJE.PL</w:t>
      </w:r>
    </w:p>
    <w:p w14:paraId="465B7E66" w14:textId="5E3D522D" w:rsidR="006413EE" w:rsidRPr="006413EE" w:rsidRDefault="003662D8" w:rsidP="006413EE">
      <w:pPr>
        <w:spacing w:line="240" w:lineRule="auto"/>
        <w:ind w:left="708"/>
        <w:rPr>
          <w:rFonts w:asciiTheme="majorHAnsi" w:hAnsiTheme="majorHAnsi" w:cstheme="majorHAnsi"/>
          <w:sz w:val="20"/>
          <w:lang w:val="pl-PL"/>
        </w:rPr>
      </w:pPr>
      <w:r w:rsidRPr="00504501">
        <w:rPr>
          <w:rFonts w:asciiTheme="majorHAnsi" w:hAnsiTheme="majorHAnsi" w:cstheme="majorHAnsi"/>
          <w:sz w:val="20"/>
          <w:lang w:val="pl-PL"/>
        </w:rPr>
        <w:t>Poniższa tabela przedstawia zobowiązania Wynajmującego (W) i Najemcy (N) na poszczególnych etapach procesu inwestycyjnego. Wszystkie prace i zobowiązania zostaną zrealizowane w terminach wskazanych w harmonogramie Najemcy.</w:t>
      </w:r>
    </w:p>
    <w:tbl>
      <w:tblPr>
        <w:tblW w:w="107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9356"/>
        <w:gridCol w:w="425"/>
        <w:gridCol w:w="425"/>
      </w:tblGrid>
      <w:tr w:rsidR="00110D36" w:rsidRPr="00504501" w14:paraId="423A24E1" w14:textId="77777777" w:rsidTr="008B7299">
        <w:trPr>
          <w:cantSplit/>
          <w:trHeight w:val="9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DD" w14:textId="77777777" w:rsidR="00110D36" w:rsidRPr="00504501" w:rsidRDefault="003662D8" w:rsidP="00504501">
            <w:pPr>
              <w:spacing w:after="0" w:line="40" w:lineRule="atLeast"/>
              <w:ind w:left="-822" w:firstLine="822"/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6261" w14:textId="77777777" w:rsidR="00110D36" w:rsidRPr="00504501" w:rsidRDefault="003662D8" w:rsidP="00A13ECB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FAZA PROJEKTOWA </w:t>
            </w:r>
          </w:p>
          <w:p w14:paraId="423A24DE" w14:textId="7D5DE064" w:rsidR="000406A4" w:rsidRPr="00504501" w:rsidRDefault="000406A4" w:rsidP="00A13ECB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23A24DF" w14:textId="77777777" w:rsidR="00110D36" w:rsidRPr="00504501" w:rsidRDefault="003662D8" w:rsidP="00A13ECB">
            <w:pPr>
              <w:spacing w:after="0" w:line="40" w:lineRule="atLeast"/>
              <w:ind w:left="113" w:right="113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Realizacja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23A24E0" w14:textId="77777777" w:rsidR="00110D36" w:rsidRPr="00504501" w:rsidRDefault="003662D8" w:rsidP="00A13ECB">
            <w:pPr>
              <w:tabs>
                <w:tab w:val="left" w:pos="113"/>
              </w:tabs>
              <w:spacing w:after="0" w:line="40" w:lineRule="atLeast"/>
              <w:ind w:left="113" w:right="113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Koszt</w:t>
            </w:r>
          </w:p>
        </w:tc>
      </w:tr>
      <w:tr w:rsidR="00DB7D24" w:rsidRPr="00DB7D24" w14:paraId="423A24E6" w14:textId="77777777" w:rsidTr="008B7299">
        <w:trPr>
          <w:trHeight w:val="2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2" w14:textId="77777777" w:rsidR="00110D36" w:rsidRPr="00504501" w:rsidRDefault="003662D8" w:rsidP="00A13ECB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1.1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3" w14:textId="70352EC5" w:rsidR="00110D36" w:rsidRPr="00DB7D24" w:rsidRDefault="003662D8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DB7D2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Dostarczenie kompletnego i niezmiennego pakietu Materiałów Projektowych zgodnie z Załącznik</w:t>
            </w:r>
            <w:r w:rsidR="00622EEC" w:rsidRPr="00DB7D2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iem</w:t>
            </w:r>
            <w:r w:rsidRPr="00DB7D2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Nr 1.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4" w14:textId="77777777" w:rsidR="00110D36" w:rsidRPr="00DB7D24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DB7D24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5" w14:textId="77777777" w:rsidR="00110D36" w:rsidRPr="00DB7D24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DB7D24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4EB" w14:textId="77777777" w:rsidTr="008B7299">
        <w:trPr>
          <w:trHeight w:val="25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7" w14:textId="77777777" w:rsidR="00110D36" w:rsidRPr="00504501" w:rsidRDefault="003662D8" w:rsidP="00A13ECB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1.2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8" w14:textId="77777777" w:rsidR="00110D36" w:rsidRPr="00504501" w:rsidRDefault="003662D8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Przygotowanie i udostępnienie lokalu do pomiarów inwentaryzacyjnych (lokal wydzielony ścianami).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9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A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031B4F" w:rsidRPr="00504501" w14:paraId="423A24F0" w14:textId="77777777" w:rsidTr="008B7299">
        <w:trPr>
          <w:trHeight w:val="4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C" w14:textId="77777777" w:rsidR="00031B4F" w:rsidRPr="00504501" w:rsidRDefault="00031B4F" w:rsidP="00031B4F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1.3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D" w14:textId="7A941D28" w:rsidR="00031B4F" w:rsidRPr="00504501" w:rsidRDefault="00031B4F" w:rsidP="00031B4F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Uzyskanie </w:t>
            </w:r>
            <w:proofErr w:type="spellStart"/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PnB</w:t>
            </w:r>
            <w:proofErr w:type="spellEnd"/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i innych pozwoleń administracyjnych niezbędnych dla prowadzenia prac w Lokalu.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E" w14:textId="1F2F8A0F" w:rsidR="00031B4F" w:rsidRPr="00504501" w:rsidRDefault="00031B4F" w:rsidP="00031B4F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F" w14:textId="7DD0251B" w:rsidR="00031B4F" w:rsidRPr="00504501" w:rsidRDefault="00031B4F" w:rsidP="00031B4F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031B4F" w:rsidRPr="00504501" w14:paraId="423A24F5" w14:textId="77777777" w:rsidTr="008B7299">
        <w:trPr>
          <w:trHeight w:val="2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1" w14:textId="77777777" w:rsidR="00031B4F" w:rsidRPr="00504501" w:rsidRDefault="00031B4F" w:rsidP="00031B4F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1.4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2" w14:textId="352C7DD6" w:rsidR="00031B4F" w:rsidRPr="00504501" w:rsidRDefault="00031B4F" w:rsidP="00031B4F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Najemca dostosuje się do ogólnej koncepcji Wynajmującego w zakresie standardu witryny, podziału szklenia, rodzaju drzwi, wielkości wejścia do Lokalu oraz wymiarów i ilości logotypów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. 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Wynajmujący w pełni akceptuje pozostałe standardy aranżacyjne Najemcy i nie będzie oczekiwał od Najemcy dostosowania projektu Lokalu, do koncepcji aranżacyjnej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Centrum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 Budynek, w którym znajduje się Lokal Najemcy będzie zakwalifikowany do kategorii zagrożenia ludzi ZL I. Najemca nie ma obowiązku wykonywać toalety dla klientów w Lokalu. Jeśli zgodnie z uzyskanym PNB wykonanie toalet dla klientów będzie konieczne zostaną one wykonane przez Wynajmującego na jego koszt poza obszarem Lokalu Najemcy.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44C7E" w14:textId="77777777" w:rsidR="00031B4F" w:rsidRDefault="00031B4F" w:rsidP="00031B4F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--</w:t>
            </w:r>
          </w:p>
          <w:p w14:paraId="7F5737C4" w14:textId="77777777" w:rsidR="00031B4F" w:rsidRDefault="00031B4F" w:rsidP="00031B4F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0034AAB" w14:textId="77777777" w:rsidR="00031B4F" w:rsidRDefault="00031B4F" w:rsidP="00031B4F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4F3" w14:textId="295474B0" w:rsidR="00031B4F" w:rsidRPr="00504501" w:rsidRDefault="00031B4F" w:rsidP="00031B4F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D535D" w14:textId="77777777" w:rsidR="00031B4F" w:rsidRDefault="00031B4F" w:rsidP="00031B4F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--</w:t>
            </w:r>
          </w:p>
          <w:p w14:paraId="2243DEF1" w14:textId="77777777" w:rsidR="00031B4F" w:rsidRDefault="00031B4F" w:rsidP="00031B4F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20CC9A52" w14:textId="77777777" w:rsidR="00031B4F" w:rsidRDefault="00031B4F" w:rsidP="00031B4F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423A24F4" w14:textId="6448FC4D" w:rsidR="00031B4F" w:rsidRPr="00504501" w:rsidRDefault="00031B4F" w:rsidP="00031B4F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F13379" w14:paraId="423A24FD" w14:textId="77777777" w:rsidTr="008B7299">
        <w:trPr>
          <w:trHeight w:val="3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B" w14:textId="77777777" w:rsidR="00FA7690" w:rsidRPr="00504501" w:rsidRDefault="00FA7690" w:rsidP="00FA7690">
            <w:pPr>
              <w:spacing w:after="0" w:line="40" w:lineRule="atLeast"/>
              <w:ind w:left="-822" w:firstLine="822"/>
              <w:jc w:val="right"/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2.</w:t>
            </w: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C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PRACE WYKONANE DO DNIA PRZEKAZANIA LOKALU</w:t>
            </w:r>
          </w:p>
        </w:tc>
      </w:tr>
      <w:tr w:rsidR="00FA7690" w:rsidRPr="00504501" w14:paraId="423A2502" w14:textId="77777777" w:rsidTr="008B7299">
        <w:trPr>
          <w:trHeight w:val="90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E" w14:textId="77777777" w:rsidR="00FA7690" w:rsidRPr="00504501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2.1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F" w14:textId="577CB43B" w:rsidR="00FA7690" w:rsidRPr="00504501" w:rsidRDefault="00FA7690" w:rsidP="00FA7690">
            <w:p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bookmarkStart w:id="0" w:name="_Hlk110617382"/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Wydzielenie Lokalu ścianami na pełną wysokość (do stropu/dachu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)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 Ściany zewnętrzne, jeśli występują – z odpowiednią izolacją cieplną i przeciwwodną. Konstrukcja dachu będzie wykonana w technologii umożliwiającej bezpośrednie podwieszanie elementów wykończeniowych (np., instalacje, elementy dekoracyjne, elementy sufitu podwieszanego) z zastrzeżeniem, że izolacja termiczna będzie ukryta w obudowie dachu (np. blachy trapezowe z rdzeniem termoizolacyjnym).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Pr="007177C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Maksymalne obciążenie równomiernie rozłożone to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35</w:t>
            </w:r>
            <w:r w:rsidRPr="007177C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kg/m2. Wytyczne do realizacji powieszeń do blachy przekazano w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</w:t>
            </w:r>
            <w:r w:rsidRPr="007177C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odręczniku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N</w:t>
            </w:r>
            <w:r w:rsidRPr="007177C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ajemcy</w:t>
            </w:r>
            <w:bookmarkEnd w:id="0"/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0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1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7177CC" w14:paraId="423A2507" w14:textId="77777777" w:rsidTr="008B7299">
        <w:trPr>
          <w:trHeight w:val="2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3" w14:textId="77777777" w:rsidR="00FA7690" w:rsidRPr="007177CC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DB7D24">
              <w:rPr>
                <w:rFonts w:asciiTheme="majorHAnsi" w:hAnsiTheme="majorHAnsi" w:cstheme="majorHAnsi"/>
                <w:sz w:val="18"/>
                <w:szCs w:val="18"/>
              </w:rPr>
              <w:t>2.2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4" w14:textId="40C00E5B" w:rsidR="00FA7690" w:rsidRPr="00DB7D24" w:rsidRDefault="00FA7690" w:rsidP="00FA7690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Wykonanie frontowej elewacji Najemcy, w tym witryn szklanych (szkło bezbarwne), wejścia do Lokalu (drzwi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rozwierane </w:t>
            </w:r>
            <w:r w:rsidRPr="009E4572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dwuskrzydłowe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90</w:t>
            </w:r>
            <w:r w:rsidR="001A40F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+ 45/210</w:t>
            </w:r>
            <w:r w:rsidRPr="009E4572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- lokalizacja zgodnie z </w:t>
            </w:r>
            <w:r w:rsidR="001A40F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Rzutem Wstępnym Lokalu</w:t>
            </w:r>
            <w:r w:rsidRPr="009E4572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), 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dostarczenie zamków i kompletu kluczy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oraz podkonstrukcj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i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i kab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la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zasilając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ego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dla logotypu Najemcy.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5" w14:textId="7C2A1B35" w:rsidR="00FA7690" w:rsidRPr="00DB7D24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6" w14:textId="7662BBE2" w:rsidR="00FA7690" w:rsidRPr="00DB7D24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504501" w14:paraId="423A250C" w14:textId="77777777" w:rsidTr="008B7299">
        <w:trPr>
          <w:trHeight w:val="2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8" w14:textId="77777777" w:rsidR="00FA7690" w:rsidRPr="00504501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2.3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9" w14:textId="2CFCA1C1" w:rsidR="00FA7690" w:rsidRPr="00504501" w:rsidRDefault="00FA7690" w:rsidP="00FA7690">
            <w:p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Wysokość lokalu dostępna dla aranżacji Najemcy i wolna od instalacji tranzytowych budynku (w tym instalacji przeciwpożarowych) na poziomie </w:t>
            </w:r>
            <w:r w:rsidRPr="003861A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4,20 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m.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Najmniejsza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wysokość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do konstrukcji stalowej dachu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–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6,90 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m.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A" w14:textId="4AFD8E39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B" w14:textId="7C45FD2A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504501" w14:paraId="423A2511" w14:textId="77777777" w:rsidTr="008B7299">
        <w:trPr>
          <w:trHeight w:val="4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D" w14:textId="77777777" w:rsidR="00FA7690" w:rsidRPr="00504501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2.4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E" w14:textId="213E7BA0" w:rsidR="00FA7690" w:rsidRPr="00504501" w:rsidRDefault="00FA7690" w:rsidP="00FA7690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bookmarkStart w:id="1" w:name="_Hlk110617639"/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Gwarantowane obciążenia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dla podwieszeń najemcy (instalacje + sufity)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35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kg / m2. Gwarantowane obciążenie podłogi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10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00 kg/m2.</w:t>
            </w:r>
            <w:bookmarkEnd w:id="1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F" w14:textId="50D41B0B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0" w14:textId="741E574D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504501" w14:paraId="423A2516" w14:textId="77777777" w:rsidTr="008B7299">
        <w:trPr>
          <w:trHeight w:val="2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2" w14:textId="77777777" w:rsidR="00FA7690" w:rsidRPr="00504501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2.5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3" w14:textId="5D042D69" w:rsidR="00B64F73" w:rsidRPr="00504501" w:rsidRDefault="00FA7690" w:rsidP="00B64F73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bookmarkStart w:id="2" w:name="_Hlk110617673"/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Płyta posadzkowa</w:t>
            </w:r>
            <w:r w:rsidRPr="00DB7D2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na poziomie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Pr="00873E09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-20 </w:t>
            </w:r>
            <w:r w:rsidRPr="00DB7D2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mm od ostatecznej okładziny pasażu. Maksymalne nierówności +/-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3</w:t>
            </w:r>
            <w:r w:rsidRPr="00DB7D2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mm na 2 m linii kontrolnej. Jeśli w Lokalu występują dylatacje konstrukcyjne w posadzce, Wynajmujący wykona listwy dylatacyjne.</w:t>
            </w:r>
            <w:bookmarkEnd w:id="2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4" w14:textId="0E932E9F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DB7D2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5" w14:textId="0AF58694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486073" w14:paraId="423A251B" w14:textId="77777777" w:rsidTr="008B7299">
        <w:trPr>
          <w:trHeight w:val="4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7" w14:textId="77777777" w:rsidR="00FA7690" w:rsidRPr="00DB7D24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</w:rPr>
            </w:pPr>
            <w:r w:rsidRPr="00DB7D2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2.6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8" w14:textId="13EE25DF" w:rsidR="00FA7690" w:rsidRPr="00DB7D24" w:rsidRDefault="00FA7690" w:rsidP="00FA7690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Wykończenie posadzek np. w płytki lub wykładziny wraz z wylewką po stronie Najemcy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9" w14:textId="322F9A5A" w:rsidR="00FA7690" w:rsidRPr="00486073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A" w14:textId="67414D54" w:rsidR="00FA7690" w:rsidRPr="00486073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FA7690" w:rsidRPr="00504501" w14:paraId="423A2520" w14:textId="77777777" w:rsidTr="008B7299">
        <w:trPr>
          <w:trHeight w:val="2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C" w14:textId="77777777" w:rsidR="00FA7690" w:rsidRPr="00504501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2.7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D" w14:textId="4C8DB8A5" w:rsidR="00FA7690" w:rsidRPr="00504501" w:rsidRDefault="00FA7690" w:rsidP="00FA7690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Przyłącza o parametrach: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E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F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504501" w14:paraId="423A2525" w14:textId="77777777" w:rsidTr="008B7299">
        <w:trPr>
          <w:trHeight w:val="25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1" w14:textId="77777777" w:rsidR="00FA7690" w:rsidRPr="00504501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2" w14:textId="47F6F876" w:rsidR="00FA7690" w:rsidRPr="007E2F60" w:rsidRDefault="00FA7690" w:rsidP="00FA7690">
            <w:pPr>
              <w:pStyle w:val="Akapitzlist"/>
              <w:numPr>
                <w:ilvl w:val="0"/>
                <w:numId w:val="1"/>
              </w:num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7E2F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WODNOKANALIZACYJNE: pion kanalizacji grawitacyjnej Ø110 </w:t>
            </w:r>
            <w:r w:rsidR="00F13379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(prawy górny róg na rzucie lokalu)</w:t>
            </w:r>
            <w:r w:rsidR="00F13379" w:rsidRPr="007E2F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  <w:r w:rsidRPr="007E2F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+ przyłącze zimnej wody </w:t>
            </w:r>
            <w:r w:rsidR="007B10D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wraz z licznikiem </w:t>
            </w:r>
            <w:r w:rsidRPr="007E2F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 miejscach wskazanych w dokumentacji projektowej </w:t>
            </w:r>
            <w:r w:rsidR="00303E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wykonanej</w:t>
            </w:r>
            <w:r w:rsidRPr="007E2F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przez Wynajmującego</w:t>
            </w:r>
            <w:r w:rsidR="00F13379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(prawy górny róg na rzucie lokalu)</w:t>
            </w:r>
            <w:r w:rsidRPr="007E2F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3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4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504501" w14:paraId="423A252A" w14:textId="77777777" w:rsidTr="008B7299">
        <w:trPr>
          <w:trHeight w:val="432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6" w14:textId="77777777" w:rsidR="00FA7690" w:rsidRPr="00504501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DA659" w14:textId="53021132" w:rsidR="00FA7690" w:rsidRPr="007E2F60" w:rsidRDefault="00FA7690" w:rsidP="00FA7690">
            <w:pPr>
              <w:pStyle w:val="Akapitzlist"/>
              <w:numPr>
                <w:ilvl w:val="0"/>
                <w:numId w:val="1"/>
              </w:num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7E2F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WENTYLACYJNE: Lokale będą wentylowane ze </w:t>
            </w:r>
            <w:r w:rsidRPr="001A40FE">
              <w:rPr>
                <w:rFonts w:asciiTheme="majorHAnsi" w:hAnsiTheme="majorHAnsi" w:cstheme="majorHAnsi"/>
                <w:sz w:val="18"/>
                <w:szCs w:val="18"/>
                <w:u w:val="single"/>
                <w:lang w:val="pl-PL"/>
              </w:rPr>
              <w:t>wspólne</w:t>
            </w:r>
            <w:r w:rsidRPr="007E2F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j centrali wentylacyjnej. Do każdego Lokalu doprowadzone będą króćce wentylacyjne/ przyłącza ( nawiew i wywiew) zapewniające powietrze świeże w ilości 30m3/h na 1 osobę (przy założeniu 1 osoby /4m2) oraz spełniające wymianę powietrza min. 1,8/h w kubaturze lokalu. Temperatura powietrza nawiewanego zimą wynosić będzie 19-20°С, temperatura powietrza nawiewanego latem wynosić będzie ok. 22°С). Króćce powietrza zakończone będą przepustnicami odcinającymi zamontowanymi w obrębie lokalu. </w:t>
            </w:r>
          </w:p>
          <w:p w14:paraId="3FA5E291" w14:textId="0C201D63" w:rsidR="00FA7690" w:rsidRPr="007E2F60" w:rsidRDefault="00FA7690" w:rsidP="00FA7690">
            <w:pPr>
              <w:pStyle w:val="Akapitzlist"/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7E2F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Lokale będą wyposażone również we wspólną instalację wentylacji wywiewnej z wentylatorem wyciągowym na potrzeby z zespołu sanitarnego (toalety dla pracowników), który będzie wykorzystany w przypadku zabudowy takiego zespołu w danej strefie najmu. Dla każdego lokalu przewidziane zostanie odgałęzienie Ø100mm kanału wywiewnego, zapewniające usuwanie 60m3/h powietrza i zakończone przepustnicą odcinającą zamontowaną w obrębie lokalu. </w:t>
            </w:r>
          </w:p>
          <w:p w14:paraId="7B7929CB" w14:textId="6A411CEB" w:rsidR="00FA7690" w:rsidRPr="007E2F60" w:rsidRDefault="00FA7690" w:rsidP="00FA7690">
            <w:pPr>
              <w:pStyle w:val="Akapitzlist"/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7E2F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Centrala wentylacyjna </w:t>
            </w:r>
            <w:proofErr w:type="spellStart"/>
            <w:r w:rsidRPr="007E2F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nawiewno</w:t>
            </w:r>
            <w:proofErr w:type="spellEnd"/>
            <w:r w:rsidRPr="007E2F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– wywiewna i wentylator wyciągowy z zespołu sanitarnego zainstalowane zostaną poza Lokalem Najemcy. Centrala wyposażona będzie w nagrzewnicę i chłodnicę powietrza. Centrala wentylacyjna i wentylator wyciągowy zasilane będą z rozdzielnicy elektrycznej Wynajmującego.</w:t>
            </w:r>
          </w:p>
          <w:p w14:paraId="423A2527" w14:textId="65F991BD" w:rsidR="00FA7690" w:rsidRPr="007E2F60" w:rsidRDefault="00FA7690" w:rsidP="00FA7690">
            <w:pPr>
              <w:pStyle w:val="Akapitzlist"/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7E2F6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Projekt i montaż instalacji kanałowej od przepustnic w obrębie lokalu po stronie Najemcy.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8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9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9248DC" w14:paraId="22B7B512" w14:textId="77777777" w:rsidTr="008B7299">
        <w:trPr>
          <w:trHeight w:val="24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80B47" w14:textId="77777777" w:rsidR="00FA7690" w:rsidRPr="00504501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84EE3" w14:textId="7452BCFC" w:rsidR="00E02931" w:rsidRPr="00E02931" w:rsidRDefault="00FA7690" w:rsidP="00E02931">
            <w:pPr>
              <w:pStyle w:val="Akapitzlist"/>
              <w:numPr>
                <w:ilvl w:val="0"/>
                <w:numId w:val="1"/>
              </w:num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9248D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GRZANIE I CHŁODZENIE: </w:t>
            </w:r>
            <w:r w:rsidR="00E02931" w:rsidRPr="00E0293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Jeżeli Najemca będzie miał zapotrzebowanie na dodatkowy system grzania i chłodzenia, zrealizuje go we własnym zakresie i na własny koszt w oparciu o instalacje typu SPLIT, VRF</w:t>
            </w:r>
            <w:r w:rsidR="00E0293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, </w:t>
            </w:r>
            <w:r w:rsidR="003F6BD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kurty</w:t>
            </w:r>
            <w:r w:rsidR="001A40FE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ny</w:t>
            </w:r>
            <w:r w:rsidR="00F13379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(nagrzewnic</w:t>
            </w:r>
            <w:r w:rsidR="00290D7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e)</w:t>
            </w:r>
            <w:r w:rsidR="00E02931" w:rsidRPr="00E0293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lub podobne. Wynajmujący wskaże lokalizację jednostki zewnętrznej systemu VRF na dachu lokalu. Najemca uzyska zatwierdzenie Wynajmującego w zakresie rozwiązania technicznego podkonstrukcji pod jednostkę zewnętrzną oraz rozwiązania technicznego dotyczącego przejścia instalacji przez dach budynku. Podkonstrukcja pod jednostkę zewnętrzną w zakresie Najemcy.                                                                                                                                                                       </w:t>
            </w:r>
            <w:r w:rsidR="00E02931" w:rsidRPr="00E0293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lastRenderedPageBreak/>
              <w:t>Przejście przez dach na potrzeby freonowych systemów grzewczo-chłodzących wykonuje Wynajmujący na koszt Najemcy.</w:t>
            </w:r>
          </w:p>
          <w:p w14:paraId="03B5749E" w14:textId="3B7B891B" w:rsidR="00564AD7" w:rsidRPr="00504501" w:rsidRDefault="00E02931" w:rsidP="00E02931">
            <w:pPr>
              <w:pStyle w:val="Akapitzlist"/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2565A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Montaż kurtyny powietrznej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Pr="002565A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nad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wejściami do Lokalu po stronie i na koszt Najemcy. </w:t>
            </w:r>
            <w:r w:rsidRPr="001E7483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Zasilanie elektryczne ze skrzynki elektrycznej w strefie najmu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. </w:t>
            </w:r>
            <w:r w:rsidRPr="002565A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Preferowany montaż kurtyny na gwint-sztanga zwieszone z dachu.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6DDB5" w14:textId="0F55D001" w:rsidR="00FA7690" w:rsidRDefault="00E02931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lastRenderedPageBreak/>
              <w:t>N</w:t>
            </w:r>
          </w:p>
          <w:p w14:paraId="1E2A93FC" w14:textId="77777777" w:rsidR="00073D72" w:rsidRDefault="00073D72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46D03488" w14:textId="77777777" w:rsidR="00073D72" w:rsidRDefault="00073D72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0137A085" w14:textId="77777777" w:rsidR="00073D72" w:rsidRDefault="00073D72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329047BE" w14:textId="77777777" w:rsidR="00073D72" w:rsidRDefault="00073D72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6347925C" w14:textId="0D2A423D" w:rsidR="00073D72" w:rsidRPr="009248DC" w:rsidRDefault="00073D72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ED4B2" w14:textId="6D5FBEDE" w:rsidR="00FA7690" w:rsidRDefault="00E02931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  <w:p w14:paraId="5CA64C9E" w14:textId="77777777" w:rsidR="00073D72" w:rsidRDefault="00073D72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1BD64F8D" w14:textId="77777777" w:rsidR="00073D72" w:rsidRDefault="00073D72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01EADF69" w14:textId="77777777" w:rsidR="00073D72" w:rsidRDefault="00073D72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72DA33A5" w14:textId="77777777" w:rsidR="00073D72" w:rsidRDefault="00073D72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4BC6BFC5" w14:textId="293BCDBE" w:rsidR="00073D72" w:rsidRPr="00504501" w:rsidRDefault="00073D72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</w:tc>
      </w:tr>
      <w:tr w:rsidR="00FA7690" w:rsidRPr="00504501" w14:paraId="423A252F" w14:textId="77777777" w:rsidTr="008B7299">
        <w:trPr>
          <w:trHeight w:val="24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B" w14:textId="77777777" w:rsidR="00FA7690" w:rsidRPr="00504501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C" w14:textId="170CE08E" w:rsidR="00FA7690" w:rsidRPr="00504501" w:rsidRDefault="00FA7690" w:rsidP="00FA7690">
            <w:pPr>
              <w:pStyle w:val="Akapitzlist"/>
              <w:numPr>
                <w:ilvl w:val="0"/>
                <w:numId w:val="1"/>
              </w:num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ELEKTRYCZNE: 3-fazowe </w:t>
            </w:r>
            <w:r w:rsidRPr="008D742B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przyłącze elektryczne </w:t>
            </w:r>
            <w:r w:rsidR="007B10D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wraz z licznikiem </w:t>
            </w:r>
            <w:r w:rsidRPr="008D742B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o łącznej mocy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ok. </w:t>
            </w:r>
            <w:r w:rsidR="00D12D3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250</w:t>
            </w:r>
            <w:r w:rsidR="004012AB" w:rsidRPr="00D921D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</w:t>
            </w:r>
            <w:r w:rsidR="00A82905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/</w:t>
            </w:r>
            <w:r w:rsidR="00CB1D7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m2</w:t>
            </w:r>
            <w:r w:rsidRPr="008D742B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w miejscu wskazanym w dokumentacji projektowej </w:t>
            </w:r>
            <w:r w:rsidR="001D1032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wykonanej </w:t>
            </w:r>
            <w:r w:rsidRPr="008D742B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przez Wynajmującego</w:t>
            </w:r>
            <w:r w:rsidR="00EE0FC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(prawy górny róg na rzucie)</w:t>
            </w:r>
            <w:r w:rsidRPr="008D742B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.   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D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E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504501" w14:paraId="423A2534" w14:textId="77777777" w:rsidTr="008B7299">
        <w:trPr>
          <w:trHeight w:val="259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0" w14:textId="77777777" w:rsidR="00FA7690" w:rsidRPr="00504501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1" w14:textId="4A0663D0" w:rsidR="00FA7690" w:rsidRPr="00504501" w:rsidRDefault="00FA7690" w:rsidP="00FA7690">
            <w:pPr>
              <w:pStyle w:val="Akapitzlist"/>
              <w:numPr>
                <w:ilvl w:val="0"/>
                <w:numId w:val="1"/>
              </w:num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TELEINFORMATYCZNE: </w:t>
            </w:r>
            <w:r w:rsidRPr="00711F8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kabel światłowodowy </w:t>
            </w:r>
            <w:proofErr w:type="spellStart"/>
            <w:r w:rsidRPr="00711F8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jednomodowy</w:t>
            </w:r>
            <w:proofErr w:type="spellEnd"/>
            <w:r w:rsidRPr="00711F8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dwuwłóknowy</w:t>
            </w:r>
            <w:r w:rsidR="001822AD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doprowadzony do lokalu</w:t>
            </w:r>
            <w:r w:rsidRPr="00711F8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zakończone zapasem 5 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2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3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86631C" w14:paraId="28233A26" w14:textId="77777777" w:rsidTr="008B7299">
        <w:trPr>
          <w:trHeight w:val="259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99F2" w14:textId="26F2C19D" w:rsidR="00FA7690" w:rsidRPr="00504501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2.8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DC7BB" w14:textId="60222A17" w:rsidR="00FA7690" w:rsidRPr="001F4761" w:rsidRDefault="00FA7690" w:rsidP="00FA7690">
            <w:p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Instalacja hydrantowa wraz z skrzynką hydrantową i gaśnicą w lokalizacji wskazanej w projekcie wykonawczym Wynajmującego</w:t>
            </w:r>
            <w:r w:rsidR="006A7FBB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4394" w14:textId="0FCA7D26" w:rsidR="00FA7690" w:rsidRPr="0086631C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34CB" w14:textId="405E7CE6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2E2B5C" w14:paraId="309280EF" w14:textId="77777777" w:rsidTr="001822AD">
        <w:trPr>
          <w:trHeight w:val="46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0C9B8" w14:textId="05A0B86F" w:rsidR="00FA7690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2.9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8D68" w14:textId="3EDAFBC0" w:rsidR="00FA7690" w:rsidRPr="001F4761" w:rsidRDefault="00FA7690" w:rsidP="00FA7690">
            <w:p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Oświetlenie awaryjne i ewakuacyjne </w:t>
            </w:r>
            <w:r w:rsidR="006346A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zewnętrzne – kable do rozprowadzenia </w:t>
            </w:r>
            <w:r w:rsidR="00CB1D7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i podłączenia do rozdzielnicy lokalowej </w:t>
            </w:r>
            <w:r w:rsidR="006346AA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po stronie Najemcy.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A878" w14:textId="395E74C9" w:rsidR="00FA7690" w:rsidRPr="002E2B5C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EDB1" w14:textId="77B311D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FA7690" w:rsidRPr="00F13379" w14:paraId="423A254B" w14:textId="77777777" w:rsidTr="008B7299">
        <w:trPr>
          <w:trHeight w:val="3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9" w14:textId="77777777" w:rsidR="00FA7690" w:rsidRPr="00504501" w:rsidRDefault="00FA7690" w:rsidP="00FA7690">
            <w:pPr>
              <w:spacing w:after="0" w:line="40" w:lineRule="atLeast"/>
              <w:ind w:left="-822" w:firstLine="822"/>
              <w:jc w:val="right"/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3.</w:t>
            </w: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A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PRACE WYKONANE PO DNIU PRZEKAZANIA LOKALU</w:t>
            </w:r>
          </w:p>
        </w:tc>
      </w:tr>
      <w:tr w:rsidR="00FA7690" w:rsidRPr="00504501" w14:paraId="423A2550" w14:textId="77777777" w:rsidTr="00D65459">
        <w:trPr>
          <w:trHeight w:val="3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C" w14:textId="77777777" w:rsidR="00FA7690" w:rsidRPr="00504501" w:rsidRDefault="00FA7690" w:rsidP="00FA7690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3.1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D" w14:textId="26407E90" w:rsidR="00FA7690" w:rsidRPr="00504501" w:rsidRDefault="00FA7690" w:rsidP="00FA7690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Otworowania w konstrukcji budynku wraz z zabezpieczeniem hydraulicznym i ppoż.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E" w14:textId="77777777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F" w14:textId="39608DCC" w:rsidR="00FA7690" w:rsidRPr="00504501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FA7690" w:rsidRPr="007177CC" w14:paraId="423A2555" w14:textId="77777777" w:rsidTr="008B7299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1" w14:textId="77777777" w:rsidR="00FA7690" w:rsidRPr="00DB7D24" w:rsidRDefault="00FA7690" w:rsidP="00FA7690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</w:rPr>
            </w:pPr>
            <w:r w:rsidRPr="00DB7D24">
              <w:rPr>
                <w:rFonts w:asciiTheme="majorHAnsi" w:hAnsiTheme="majorHAnsi" w:cstheme="majorHAnsi"/>
                <w:sz w:val="18"/>
                <w:szCs w:val="18"/>
              </w:rPr>
              <w:t>3.2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2" w14:textId="2EC67983" w:rsidR="00FA7690" w:rsidRPr="00DB7D24" w:rsidRDefault="00FA7690" w:rsidP="00FA7690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Uzyskanie </w:t>
            </w:r>
            <w:proofErr w:type="spellStart"/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PnU</w:t>
            </w:r>
            <w:proofErr w:type="spellEnd"/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i innych pozwoleń administracyjnych niezbędnych dla otwarcia Lokalu (jeśli konieczne).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3" w14:textId="0F304FEA" w:rsidR="00FA7690" w:rsidRPr="00DB7D24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4" w14:textId="4B7675C3" w:rsidR="00FA7690" w:rsidRPr="00DB7D24" w:rsidRDefault="00FA7690" w:rsidP="00FA769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287D1B" w:rsidRPr="007177CC" w14:paraId="423A255A" w14:textId="77777777" w:rsidTr="008B7299">
        <w:trPr>
          <w:trHeight w:val="2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6" w14:textId="77777777" w:rsidR="00287D1B" w:rsidRPr="00DB7D24" w:rsidRDefault="00287D1B" w:rsidP="00287D1B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</w:rPr>
            </w:pPr>
            <w:r w:rsidRPr="00DB7D24">
              <w:rPr>
                <w:rFonts w:asciiTheme="majorHAnsi" w:hAnsiTheme="majorHAnsi" w:cstheme="majorHAnsi"/>
                <w:sz w:val="18"/>
                <w:szCs w:val="18"/>
              </w:rPr>
              <w:t>3.3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7" w14:textId="3A5711C6" w:rsidR="00287D1B" w:rsidRPr="00DB7D24" w:rsidRDefault="00287D1B" w:rsidP="00287D1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496B4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Wynajmujący dostarcza podkonstrukcje pod logotyp nad wejści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em</w:t>
            </w:r>
            <w:r w:rsidRPr="00496B4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do lokalu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na elewacji </w:t>
            </w:r>
            <w:r w:rsidRPr="00496B4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oraz kable zasilające dla logotypów Najemcy.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Rozprowadzenie kabla</w:t>
            </w:r>
            <w:r w:rsidR="004E175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w lokalu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po stronie </w:t>
            </w:r>
            <w:r w:rsidR="004E175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Najemcy</w:t>
            </w:r>
            <w:r w:rsidR="00C00C6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i włączenie do rozdzielnicy lokalowej najemcy</w:t>
            </w:r>
            <w:r w:rsidR="004E175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. Sterowanie </w:t>
            </w:r>
            <w:r w:rsidR="008D568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logotypem </w:t>
            </w:r>
            <w:r w:rsidR="00B12F8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z zegara </w:t>
            </w:r>
            <w:proofErr w:type="spellStart"/>
            <w:r w:rsidR="00B12F8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astromicznego</w:t>
            </w:r>
            <w:proofErr w:type="spellEnd"/>
            <w:r w:rsidR="00B12F8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6774A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z rozdzielnicy budynkowej Wynajmującego.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8" w14:textId="3C9C8615" w:rsidR="00287D1B" w:rsidRPr="00DB7D24" w:rsidRDefault="00287D1B" w:rsidP="00287D1B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9" w14:textId="5BD09C88" w:rsidR="00287D1B" w:rsidRPr="00DB7D24" w:rsidRDefault="00287D1B" w:rsidP="00287D1B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87796B" w:rsidRPr="00504501" w14:paraId="423A255F" w14:textId="77777777" w:rsidTr="008B7299">
        <w:trPr>
          <w:trHeight w:val="1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B" w14:textId="77777777" w:rsidR="0087796B" w:rsidRPr="00504501" w:rsidRDefault="0087796B" w:rsidP="0087796B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3.4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C" w14:textId="209ADA11" w:rsidR="0087796B" w:rsidRPr="00504501" w:rsidRDefault="0087796B" w:rsidP="0087796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Najemca dostarcza i montuje kaseton zgodnie z wytycznymi dla reklam opracowanymi przez pracownię architektoniczną ALFA – załącznik nr 1</w:t>
            </w:r>
            <w:r w:rsidR="00CA1DB0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oraz widokami elewacji nad witryną lokalu.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D" w14:textId="36A90B97" w:rsidR="0087796B" w:rsidRPr="00504501" w:rsidRDefault="0087796B" w:rsidP="0087796B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E" w14:textId="0E2E6BFC" w:rsidR="0087796B" w:rsidRPr="00504501" w:rsidRDefault="0087796B" w:rsidP="0087796B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B7D24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EA0C37" w:rsidRPr="00504501" w14:paraId="423A2564" w14:textId="77777777" w:rsidTr="008B7299">
        <w:trPr>
          <w:trHeight w:val="2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0" w14:textId="77777777" w:rsidR="00EA0C37" w:rsidRPr="00504501" w:rsidRDefault="00EA0C37" w:rsidP="00EA0C37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3.5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1" w14:textId="0A986DAA" w:rsidR="00EA0C37" w:rsidRPr="00CB1D77" w:rsidRDefault="00EA0C37" w:rsidP="00EA0C37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CB1D77">
              <w:rPr>
                <w:rFonts w:asciiTheme="majorHAnsi" w:eastAsia="Arial Unicode MS" w:hAnsiTheme="majorHAnsi" w:cstheme="majorHAnsi"/>
                <w:sz w:val="18"/>
                <w:szCs w:val="18"/>
                <w:lang w:val="pl-PL"/>
              </w:rPr>
              <w:t xml:space="preserve">Zabroniona jest jakakolwiek ingerencja w ściany stanowiące granicę najmu. Wszelkie uszkodzenia powstałe w wyniku działań Najemcy należy naprawić używając takich samych materiałów jak pierwotne. Prowadzenie instalacji, zawieszanie regałów, mocowanie elementów wyposażenia do ścian stanowiących granicę najmu możliwe będzie tylko po wykonaniu przez Najemcę </w:t>
            </w:r>
            <w:proofErr w:type="spellStart"/>
            <w:r w:rsidRPr="00CB1D77">
              <w:rPr>
                <w:rFonts w:asciiTheme="majorHAnsi" w:eastAsia="Arial Unicode MS" w:hAnsiTheme="majorHAnsi" w:cstheme="majorHAnsi"/>
                <w:sz w:val="18"/>
                <w:szCs w:val="18"/>
                <w:lang w:val="pl-PL"/>
              </w:rPr>
              <w:t>przedścianek</w:t>
            </w:r>
            <w:proofErr w:type="spellEnd"/>
            <w:r w:rsidRPr="00CB1D77">
              <w:rPr>
                <w:rFonts w:asciiTheme="majorHAnsi" w:eastAsia="Arial Unicode MS" w:hAnsiTheme="majorHAnsi" w:cstheme="majorHAnsi"/>
                <w:sz w:val="18"/>
                <w:szCs w:val="18"/>
                <w:lang w:val="pl-PL"/>
              </w:rPr>
              <w:t xml:space="preserve">. Wynajmujący wyraża zgodę na stabilizację </w:t>
            </w:r>
            <w:proofErr w:type="spellStart"/>
            <w:r w:rsidRPr="00CB1D77">
              <w:rPr>
                <w:rFonts w:asciiTheme="majorHAnsi" w:eastAsia="Arial Unicode MS" w:hAnsiTheme="majorHAnsi" w:cstheme="majorHAnsi"/>
                <w:sz w:val="18"/>
                <w:szCs w:val="18"/>
                <w:lang w:val="pl-PL"/>
              </w:rPr>
              <w:t>przedścianek</w:t>
            </w:r>
            <w:proofErr w:type="spellEnd"/>
            <w:r w:rsidRPr="00CB1D77">
              <w:rPr>
                <w:rFonts w:asciiTheme="majorHAnsi" w:eastAsia="Arial Unicode MS" w:hAnsiTheme="majorHAnsi" w:cstheme="majorHAnsi"/>
                <w:sz w:val="18"/>
                <w:szCs w:val="18"/>
                <w:lang w:val="pl-PL"/>
              </w:rPr>
              <w:t xml:space="preserve"> do ścian </w:t>
            </w:r>
            <w:proofErr w:type="spellStart"/>
            <w:r w:rsidRPr="00CB1D77">
              <w:rPr>
                <w:rFonts w:asciiTheme="majorHAnsi" w:eastAsia="Arial Unicode MS" w:hAnsiTheme="majorHAnsi" w:cstheme="majorHAnsi"/>
                <w:sz w:val="18"/>
                <w:szCs w:val="18"/>
                <w:lang w:val="pl-PL"/>
              </w:rPr>
              <w:t>międzylokalowych</w:t>
            </w:r>
            <w:proofErr w:type="spellEnd"/>
            <w:r w:rsidRPr="00CB1D77">
              <w:rPr>
                <w:rFonts w:asciiTheme="majorHAnsi" w:eastAsia="Arial Unicode MS" w:hAnsiTheme="majorHAnsi" w:cstheme="majorHAnsi"/>
                <w:sz w:val="18"/>
                <w:szCs w:val="18"/>
                <w:lang w:val="pl-PL"/>
              </w:rPr>
              <w:t xml:space="preserve"> S&amp;C.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2" w14:textId="14B3BFCB" w:rsidR="00EA0C37" w:rsidRPr="00504501" w:rsidRDefault="00EA0C37" w:rsidP="00EA0C37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3" w14:textId="4ED18897" w:rsidR="00EA0C37" w:rsidRPr="00504501" w:rsidRDefault="00EA0C37" w:rsidP="00EA0C37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EA0C37" w:rsidRPr="00496B44" w14:paraId="7BC06A4E" w14:textId="77777777" w:rsidTr="008B7299">
        <w:trPr>
          <w:trHeight w:val="1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B7364" w14:textId="20E964E6" w:rsidR="00EA0C37" w:rsidRPr="00496B44" w:rsidRDefault="00EA0C37" w:rsidP="00EA0C37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9EF8" w14:textId="5771EB63" w:rsidR="00EA0C37" w:rsidRPr="00CB1D77" w:rsidRDefault="00EA0C37" w:rsidP="00EA0C37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CB1D7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Wynajmujący wyraża zgodę na malowanie instalacji znajdujących się w Lokalu oraz dachu/stropu na kolor zgodnie z przyjętym przez Najemcę standardem.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4931" w14:textId="48600955" w:rsidR="00EA0C37" w:rsidRPr="00496B44" w:rsidRDefault="00EA0C37" w:rsidP="00EA0C37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DA003" w14:textId="2752EFF3" w:rsidR="00EA0C37" w:rsidRPr="00DB7D24" w:rsidRDefault="00EA0C37" w:rsidP="00EA0C37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EA0C37" w:rsidRPr="007177CC" w14:paraId="423A2569" w14:textId="77777777" w:rsidTr="008B7299">
        <w:trPr>
          <w:trHeight w:val="1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5" w14:textId="1AAD75C0" w:rsidR="00EA0C37" w:rsidRPr="00DB7D24" w:rsidRDefault="00EA0C37" w:rsidP="00EA0C37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DB7D24">
              <w:rPr>
                <w:rFonts w:asciiTheme="majorHAnsi" w:hAnsiTheme="majorHAnsi" w:cstheme="majorHAnsi"/>
                <w:sz w:val="18"/>
                <w:szCs w:val="18"/>
              </w:rPr>
              <w:t>3.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6" w14:textId="5B568AF5" w:rsidR="00EA0C37" w:rsidRPr="00CB1D77" w:rsidRDefault="00EA0C37" w:rsidP="00EA0C37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CB1D7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Wynajmujący </w:t>
            </w:r>
            <w:r w:rsidR="00CB1D7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może </w:t>
            </w:r>
            <w:r w:rsidRPr="00CB1D7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wykona</w:t>
            </w:r>
            <w:r w:rsidR="00CB1D7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ć</w:t>
            </w:r>
            <w:r w:rsidRPr="00CB1D7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instalację kamer zliczania klientów wewnątrz lokalu Najemcy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7" w14:textId="36A596D3" w:rsidR="00EA0C37" w:rsidRPr="00DB7D24" w:rsidRDefault="00EA0C37" w:rsidP="00EA0C37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8" w14:textId="0997DCF2" w:rsidR="00EA0C37" w:rsidRPr="00DB7D24" w:rsidRDefault="00EA0C37" w:rsidP="00EA0C37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2E2019" w:rsidRPr="007B3ED8" w14:paraId="6AD45B0A" w14:textId="77777777" w:rsidTr="008B7299">
        <w:trPr>
          <w:trHeight w:val="1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9993" w14:textId="614660AD" w:rsidR="002E2019" w:rsidRPr="00DB7D24" w:rsidRDefault="002E2019" w:rsidP="00EA0C37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3.8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8A52" w14:textId="7F489679" w:rsidR="002E2019" w:rsidRPr="00CB1D77" w:rsidRDefault="007B3ED8" w:rsidP="00EA0C37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CB1D7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Prace ogólnobudowlan</w:t>
            </w:r>
            <w:r w:rsidR="005D5DFE" w:rsidRPr="00CB1D7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e</w:t>
            </w:r>
            <w:r w:rsidRPr="00CB1D7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(m.in. wykonanie posadzek, ścian, sufitów wraz z wykończeniem oraz drzwi wewnętrznych) oraz instalacyjne w lokalu </w:t>
            </w:r>
            <w:r w:rsidR="005D5DFE" w:rsidRPr="00CB1D7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(</w:t>
            </w:r>
            <w:r w:rsidRPr="00CB1D7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m.in. instalacje wodno-kanalizacyjne w tym biały montaż, instalacje </w:t>
            </w:r>
            <w:proofErr w:type="spellStart"/>
            <w:r w:rsidRPr="00CB1D7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hvac</w:t>
            </w:r>
            <w:proofErr w:type="spellEnd"/>
            <w:r w:rsidRPr="00CB1D7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,  instalacje elektryczne</w:t>
            </w:r>
            <w:r w:rsidR="005D5DFE" w:rsidRPr="00CB1D7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wraz z rozdzielnicą lokalową </w:t>
            </w:r>
            <w:r w:rsidR="001A40FE" w:rsidRPr="00CB1D7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(</w:t>
            </w:r>
            <w:r w:rsidR="00F360EA" w:rsidRPr="00CB1D7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uwzględniającą wytyczne z projektu</w:t>
            </w:r>
            <w:r w:rsidR="001A40FE" w:rsidRPr="00CB1D7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wykonawczego Wynajmującego)</w:t>
            </w:r>
            <w:r w:rsidRPr="00CB1D7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, niskoprądowe i oświetleniowe w tym  biały montaż elektryczny oraz wyposażenie lokalu</w:t>
            </w:r>
            <w:r w:rsidR="005D5DFE" w:rsidRPr="00CB1D7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)</w:t>
            </w:r>
            <w:r w:rsidRPr="00CB1D7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579C" w14:textId="26A0C06C" w:rsidR="002E2019" w:rsidRDefault="005D5DFE" w:rsidP="00EA0C37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8E41F" w14:textId="0002AC88" w:rsidR="002E2019" w:rsidRDefault="005D5DFE" w:rsidP="00EA0C37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EA0C37" w:rsidRPr="00504501" w14:paraId="58BD07D0" w14:textId="77777777" w:rsidTr="008B7299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0F317" w14:textId="20200BE8" w:rsidR="00EA0C37" w:rsidRPr="00504501" w:rsidRDefault="00EA0C37" w:rsidP="00EA0C37">
            <w:pPr>
              <w:spacing w:after="0" w:line="40" w:lineRule="atLeast"/>
              <w:ind w:left="-822" w:firstLine="822"/>
              <w:jc w:val="right"/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4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.</w:t>
            </w: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886ED" w14:textId="6B5A0E6B" w:rsidR="00EA0C37" w:rsidRPr="00504501" w:rsidRDefault="00EA0C37" w:rsidP="00EA0C37">
            <w:pPr>
              <w:spacing w:after="0" w:line="40" w:lineRule="atLeast"/>
              <w:ind w:left="-822" w:firstLine="822"/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BIEŻĄCE UTRZYMANIE LOKALU - SERWISOWANIE</w:t>
            </w:r>
          </w:p>
        </w:tc>
      </w:tr>
      <w:tr w:rsidR="00EA0C37" w:rsidRPr="00504501" w14:paraId="3D00FD9F" w14:textId="77777777" w:rsidTr="008B7299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C235" w14:textId="250549C2" w:rsidR="00EA0C37" w:rsidRPr="00504501" w:rsidRDefault="00EA0C37" w:rsidP="00EA0C37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4.1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D5414" w14:textId="68D12FE2" w:rsidR="00EA0C37" w:rsidRPr="00504501" w:rsidRDefault="00EA0C37" w:rsidP="00EA0C37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Najemca zobowiązany jest we własnym zakresie i na własny koszt do (i) bieżącego, nieprzerwanego utrzymania nakładów inwestycyjnych, w tym nakładów budowlanych, urządzeń, instalacji i elementów wyposażenia („nakłady inwestycyjne”), znajdujących się w Lokalu i poza nim, wykonywanych przez Najemcę (bez względu na to, która ze Stron poniosła koszt wykonania takich nakładów inwestycyjnych) w dobrym stanie technicznym umożliwiającym ich użytkowanie, w tym do dokonywania serwisowania i przeglądów („bieżące utrzymanie”), oraz (ii) do dokonywania generalnych napraw, w tym napraw i wymiany ww. nakładów inwestycyjnych wykonywanych przez Najemcę, jak również ich części, które ulegną uszkodzeniu lub zużyciu na nowe elementy tego samego rodzaju i jakości („generalne naprawy”), przy czym wyłącznie Najemca według własnego uznania i we własnym zakresie podejmuje decyzję, czy naprawa lub wymiana nakładu inwestycyjnego lub jego części Lokalu jest konieczna.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F6187" w14:textId="6FCA9D22" w:rsidR="00EA0C37" w:rsidRPr="00504501" w:rsidRDefault="00EA0C37" w:rsidP="00EA0C37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D3EDA" w14:textId="4AFB254D" w:rsidR="00EA0C37" w:rsidRPr="00504501" w:rsidRDefault="00EA0C37" w:rsidP="00EA0C37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EA0C37" w:rsidRPr="00504501" w14:paraId="47ED672D" w14:textId="77777777" w:rsidTr="008B7299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B0015" w14:textId="35F51614" w:rsidR="00EA0C37" w:rsidRPr="00504501" w:rsidRDefault="00EA0C37" w:rsidP="00EA0C37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4.2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F108D" w14:textId="452E9FBF" w:rsidR="00EA0C37" w:rsidRPr="00504501" w:rsidRDefault="00EA0C37" w:rsidP="00EA0C37">
            <w:pPr>
              <w:pStyle w:val="Tekstpodstawowy"/>
              <w:spacing w:after="120" w:line="40" w:lineRule="atLeast"/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</w:pPr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 xml:space="preserve">Wynajmujący zobowiązany jest we własnym zakresie i na własny koszt (i) do bieżącego utrzymania nakładów inwestycyjnych, nie wykonywanych przez Najemcę, znajdujących się </w:t>
            </w:r>
            <w:r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>poza</w:t>
            </w:r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 xml:space="preserve"> Lokal</w:t>
            </w:r>
            <w:r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>em</w:t>
            </w:r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 xml:space="preserve"> Najemcy, a obsługujących Lokal Najemcy oraz (ii) do dokonywania generalnych napraw ww. nakładów inwestycyjnych (nie wykonywanych przez Najemcę).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AD2C8" w14:textId="1FD2CFDE" w:rsidR="00EA0C37" w:rsidRPr="00504501" w:rsidRDefault="00EA0C37" w:rsidP="00EA0C37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50929" w14:textId="757D49C4" w:rsidR="00EA0C37" w:rsidRPr="00504501" w:rsidRDefault="00EA0C37" w:rsidP="00EA0C37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EA0C37" w:rsidRPr="00504501" w14:paraId="3EF0978F" w14:textId="77777777" w:rsidTr="008B7299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B0C74" w14:textId="560DFD27" w:rsidR="00EA0C37" w:rsidRPr="00504501" w:rsidRDefault="00EA0C37" w:rsidP="00EA0C37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4.3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78F5" w14:textId="4BF19B6A" w:rsidR="00EA0C37" w:rsidRPr="00504501" w:rsidRDefault="00EA0C37" w:rsidP="00EA0C37">
            <w:pPr>
              <w:pStyle w:val="Tekstpodstawowy"/>
              <w:spacing w:after="120" w:line="40" w:lineRule="atLeast"/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</w:pPr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 xml:space="preserve">Koszty bieżącego utrzymania nakładów inwestycyjnych, nie wykonanych przez Najemcę a znajdujących się w Lokalu Najemcy i obsługujących wyłącznie Lokal Najemcy, zostaną przez Najemcę zwrócone Wynajmującemu na podstawie refaktury wystawionej przez Wynajmującego bez prawa naliczania przez Wynajmującego jakichkolwiek dodatkowych opłat z tego tytułu ponad opłaty naliczone przez podmioty wykonujące usługi w powyższym zakresie. W celu uniknięcia wątpliwości, obowiązek zwrotu kosztów przez Najemcę nie dotyczy (i) napraw generalnych jakichkolwiek nakładów inwestycyjnych nie wykonanych przez Najemcę oraz (ii) bieżącego utrzymania oraz napraw generalnych nakładów inwestycyjnych w zakresie instalacji p.poż, w tym oddymiania (bez względu na ich wykonawcę), których koszty Wynajmujący ponosi w całości.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3F66" w14:textId="6283E767" w:rsidR="00EA0C37" w:rsidRPr="00504501" w:rsidRDefault="00EA0C37" w:rsidP="00EA0C37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F137" w14:textId="7951365A" w:rsidR="00EA0C37" w:rsidRPr="00504501" w:rsidRDefault="00EA0C37" w:rsidP="00EA0C37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-</w:t>
            </w:r>
          </w:p>
        </w:tc>
      </w:tr>
      <w:tr w:rsidR="00EA0C37" w:rsidRPr="00504501" w14:paraId="627A6505" w14:textId="77777777" w:rsidTr="008B7299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ECB0" w14:textId="0C0D282A" w:rsidR="00EA0C37" w:rsidRPr="00504501" w:rsidRDefault="00EA0C37" w:rsidP="00EA0C37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4.4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F76C" w14:textId="0208CC12" w:rsidR="00EA0C37" w:rsidRPr="00504501" w:rsidRDefault="00EA0C37" w:rsidP="00EA0C37">
            <w:pPr>
              <w:pStyle w:val="Tekstpodstawowy"/>
              <w:spacing w:after="120" w:line="40" w:lineRule="atLeast"/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</w:pPr>
            <w:r w:rsidRPr="00504501">
              <w:rPr>
                <w:rFonts w:asciiTheme="majorHAnsi" w:eastAsia="Calibri" w:hAnsiTheme="majorHAnsi" w:cstheme="majorHAnsi"/>
                <w:color w:val="auto"/>
                <w:sz w:val="18"/>
                <w:szCs w:val="18"/>
                <w:lang w:val="pl-PL" w:eastAsia="en-US"/>
              </w:rPr>
              <w:t>Wynajmujący zapewnia Najemcę, że koszty bieżącego utrzymania, co do których Najemca ma obowiązek zwrotu na rzecz Wynajmującego na postawie ust. 3 powyżej, będą odpowiadały stawkom rynkowym za usługi tego rodzaju (liczonym wg uśrednionej stawki z ofert trzech podmiotów świadczących usługi tego samego rodzaju w tej samej okolicy – np. w mieście, gminie). W przypadku, przekroczenia ww. uśrednionej stawki rynkowej Wynajmujący będzie zobowiązany zwrócić Najemcy, na jego pisemne żądanie, różnicę pomiędzy kosztami refakturowanymi przez Wynajmującego a ww. uśrednioną stawką rynkową. W każdym przypadku wykonywania czynności przez Wynajmującego na koszt Najemcy, na podstawie postanowień niniejszej Umowy, Najemca każdorazowo ma prawo wglądu w dokumentację związaną z czynnościami podjętymi przez Wynajmującego w tym zakresie, w tym w szczególności w faktury i protokoły.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9E21E" w14:textId="470AE8B2" w:rsidR="00EA0C37" w:rsidRPr="00504501" w:rsidRDefault="00EA0C37" w:rsidP="00EA0C37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48AB8" w14:textId="2C5B564F" w:rsidR="00EA0C37" w:rsidRPr="00504501" w:rsidRDefault="00EA0C37" w:rsidP="00EA0C37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-</w:t>
            </w:r>
          </w:p>
        </w:tc>
      </w:tr>
    </w:tbl>
    <w:p w14:paraId="2AEE1C98" w14:textId="77777777" w:rsidR="00A13ECB" w:rsidRPr="00504501" w:rsidRDefault="00A13ECB" w:rsidP="00A13ECB">
      <w:pPr>
        <w:spacing w:after="0" w:line="240" w:lineRule="auto"/>
        <w:rPr>
          <w:rFonts w:asciiTheme="majorHAnsi" w:hAnsiTheme="majorHAnsi" w:cstheme="majorHAnsi"/>
          <w:b/>
          <w:sz w:val="20"/>
          <w:szCs w:val="20"/>
          <w:lang w:val="pl-PL"/>
        </w:rPr>
      </w:pPr>
    </w:p>
    <w:p w14:paraId="714CA48C" w14:textId="25AAF7B8" w:rsidR="00A13ECB" w:rsidRPr="00504501" w:rsidRDefault="00A13ECB" w:rsidP="00A13ECB">
      <w:pPr>
        <w:spacing w:after="0" w:line="240" w:lineRule="auto"/>
        <w:rPr>
          <w:rFonts w:asciiTheme="majorHAnsi" w:hAnsiTheme="majorHAnsi" w:cstheme="majorHAnsi"/>
          <w:b/>
          <w:sz w:val="20"/>
          <w:szCs w:val="20"/>
          <w:lang w:val="pl-PL"/>
        </w:rPr>
      </w:pPr>
      <w:r w:rsidRPr="00504501">
        <w:rPr>
          <w:rFonts w:asciiTheme="majorHAnsi" w:hAnsiTheme="majorHAnsi" w:cstheme="majorHAnsi"/>
          <w:b/>
          <w:sz w:val="20"/>
          <w:szCs w:val="20"/>
          <w:lang w:val="pl-PL"/>
        </w:rPr>
        <w:t>LISTA ZAŁĄCZNIKÓW:</w:t>
      </w:r>
    </w:p>
    <w:p w14:paraId="1268C248" w14:textId="232C013D" w:rsidR="001D53BD" w:rsidRPr="006413EE" w:rsidRDefault="001D53BD" w:rsidP="006413EE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contextualSpacing/>
        <w:textAlignment w:val="auto"/>
        <w:rPr>
          <w:rFonts w:asciiTheme="majorHAnsi" w:hAnsiTheme="majorHAnsi" w:cstheme="majorHAnsi"/>
          <w:sz w:val="18"/>
          <w:szCs w:val="18"/>
          <w:lang w:val="pl-PL"/>
        </w:rPr>
      </w:pPr>
      <w:r>
        <w:rPr>
          <w:rFonts w:asciiTheme="majorHAnsi" w:hAnsiTheme="majorHAnsi" w:cstheme="majorHAnsi"/>
          <w:sz w:val="18"/>
          <w:szCs w:val="18"/>
          <w:lang w:val="pl-PL"/>
        </w:rPr>
        <w:t xml:space="preserve">Załącznik nr </w:t>
      </w:r>
      <w:r w:rsidR="0087796B">
        <w:rPr>
          <w:rFonts w:asciiTheme="majorHAnsi" w:hAnsiTheme="majorHAnsi" w:cstheme="majorHAnsi"/>
          <w:sz w:val="18"/>
          <w:szCs w:val="18"/>
          <w:lang w:val="pl-PL"/>
        </w:rPr>
        <w:t>1</w:t>
      </w:r>
      <w:r>
        <w:rPr>
          <w:rFonts w:asciiTheme="majorHAnsi" w:hAnsiTheme="majorHAnsi" w:cstheme="majorHAnsi"/>
          <w:sz w:val="18"/>
          <w:szCs w:val="18"/>
          <w:lang w:val="pl-PL"/>
        </w:rPr>
        <w:t xml:space="preserve"> – Wytyczne dla reklam</w:t>
      </w:r>
    </w:p>
    <w:sectPr w:rsidR="001D53BD" w:rsidRPr="006413EE" w:rsidSect="00624F0D">
      <w:footerReference w:type="default" r:id="rId11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5FF5B" w14:textId="77777777" w:rsidR="00A6125E" w:rsidRDefault="00A6125E">
      <w:pPr>
        <w:spacing w:after="0" w:line="240" w:lineRule="auto"/>
      </w:pPr>
      <w:r>
        <w:separator/>
      </w:r>
    </w:p>
  </w:endnote>
  <w:endnote w:type="continuationSeparator" w:id="0">
    <w:p w14:paraId="40B78109" w14:textId="77777777" w:rsidR="00A6125E" w:rsidRDefault="00A6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67560790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637B07C" w14:textId="27B35E10" w:rsidR="00504501" w:rsidRPr="00504501" w:rsidRDefault="00504501" w:rsidP="00504501">
            <w:pPr>
              <w:pStyle w:val="Stop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Strona</w:t>
            </w:r>
            <w:r w:rsidRPr="00504501">
              <w:rPr>
                <w:sz w:val="18"/>
                <w:szCs w:val="18"/>
              </w:rPr>
              <w:t xml:space="preserve"> </w:t>
            </w:r>
            <w:r w:rsidRPr="00504501">
              <w:rPr>
                <w:b/>
                <w:bCs/>
                <w:sz w:val="18"/>
                <w:szCs w:val="18"/>
              </w:rPr>
              <w:fldChar w:fldCharType="begin"/>
            </w:r>
            <w:r w:rsidRPr="0050450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04501">
              <w:rPr>
                <w:b/>
                <w:bCs/>
                <w:sz w:val="18"/>
                <w:szCs w:val="18"/>
              </w:rPr>
              <w:fldChar w:fldCharType="separate"/>
            </w:r>
            <w:r w:rsidRPr="00504501">
              <w:rPr>
                <w:b/>
                <w:bCs/>
                <w:noProof/>
                <w:sz w:val="18"/>
                <w:szCs w:val="18"/>
              </w:rPr>
              <w:t>2</w:t>
            </w:r>
            <w:r w:rsidRPr="00504501">
              <w:rPr>
                <w:b/>
                <w:bCs/>
                <w:sz w:val="18"/>
                <w:szCs w:val="18"/>
              </w:rPr>
              <w:fldChar w:fldCharType="end"/>
            </w:r>
            <w:r w:rsidRPr="005045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</w:t>
            </w:r>
            <w:r w:rsidRPr="00504501">
              <w:rPr>
                <w:sz w:val="18"/>
                <w:szCs w:val="18"/>
              </w:rPr>
              <w:t xml:space="preserve"> </w:t>
            </w:r>
            <w:r w:rsidRPr="00504501">
              <w:rPr>
                <w:b/>
                <w:bCs/>
                <w:sz w:val="18"/>
                <w:szCs w:val="18"/>
              </w:rPr>
              <w:fldChar w:fldCharType="begin"/>
            </w:r>
            <w:r w:rsidRPr="0050450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04501">
              <w:rPr>
                <w:b/>
                <w:bCs/>
                <w:sz w:val="18"/>
                <w:szCs w:val="18"/>
              </w:rPr>
              <w:fldChar w:fldCharType="separate"/>
            </w:r>
            <w:r w:rsidRPr="00504501">
              <w:rPr>
                <w:b/>
                <w:bCs/>
                <w:noProof/>
                <w:sz w:val="18"/>
                <w:szCs w:val="18"/>
              </w:rPr>
              <w:t>2</w:t>
            </w:r>
            <w:r w:rsidRPr="0050450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3A2570" w14:textId="77777777" w:rsidR="00B440C6" w:rsidRDefault="00B440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47049" w14:textId="77777777" w:rsidR="00A6125E" w:rsidRDefault="00A612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00C188" w14:textId="77777777" w:rsidR="00A6125E" w:rsidRDefault="00A6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D4E"/>
    <w:multiLevelType w:val="multilevel"/>
    <w:tmpl w:val="92E4E1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53A5B"/>
    <w:multiLevelType w:val="hybridMultilevel"/>
    <w:tmpl w:val="DBB6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27222"/>
    <w:multiLevelType w:val="hybridMultilevel"/>
    <w:tmpl w:val="C22C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24AD1"/>
    <w:multiLevelType w:val="multilevel"/>
    <w:tmpl w:val="92E4E1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280322">
    <w:abstractNumId w:val="0"/>
  </w:num>
  <w:num w:numId="2" w16cid:durableId="1236666443">
    <w:abstractNumId w:val="2"/>
  </w:num>
  <w:num w:numId="3" w16cid:durableId="805972551">
    <w:abstractNumId w:val="1"/>
  </w:num>
  <w:num w:numId="4" w16cid:durableId="1819881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36"/>
    <w:rsid w:val="0002236D"/>
    <w:rsid w:val="00026958"/>
    <w:rsid w:val="00031B4F"/>
    <w:rsid w:val="0004042D"/>
    <w:rsid w:val="000406A4"/>
    <w:rsid w:val="00043AF9"/>
    <w:rsid w:val="000537CB"/>
    <w:rsid w:val="00053B65"/>
    <w:rsid w:val="00073D72"/>
    <w:rsid w:val="00076AAC"/>
    <w:rsid w:val="0008795E"/>
    <w:rsid w:val="00091A2D"/>
    <w:rsid w:val="00096C8F"/>
    <w:rsid w:val="000B76C7"/>
    <w:rsid w:val="000D0CB6"/>
    <w:rsid w:val="000D47B8"/>
    <w:rsid w:val="000E1AA5"/>
    <w:rsid w:val="000F152E"/>
    <w:rsid w:val="00110D36"/>
    <w:rsid w:val="001115C8"/>
    <w:rsid w:val="00142038"/>
    <w:rsid w:val="00181265"/>
    <w:rsid w:val="001822AD"/>
    <w:rsid w:val="00197E96"/>
    <w:rsid w:val="001A17C7"/>
    <w:rsid w:val="001A40FE"/>
    <w:rsid w:val="001A61D9"/>
    <w:rsid w:val="001B5111"/>
    <w:rsid w:val="001C2FB9"/>
    <w:rsid w:val="001D1032"/>
    <w:rsid w:val="001D53BD"/>
    <w:rsid w:val="001D6EAF"/>
    <w:rsid w:val="001E60F3"/>
    <w:rsid w:val="001F4761"/>
    <w:rsid w:val="00200509"/>
    <w:rsid w:val="00205721"/>
    <w:rsid w:val="00207842"/>
    <w:rsid w:val="0020786B"/>
    <w:rsid w:val="002078FE"/>
    <w:rsid w:val="002236F3"/>
    <w:rsid w:val="0022596C"/>
    <w:rsid w:val="00241D75"/>
    <w:rsid w:val="0025024E"/>
    <w:rsid w:val="00287D1B"/>
    <w:rsid w:val="00290D7A"/>
    <w:rsid w:val="0029272E"/>
    <w:rsid w:val="002A79B9"/>
    <w:rsid w:val="002B4DCF"/>
    <w:rsid w:val="002B5BED"/>
    <w:rsid w:val="002B74ED"/>
    <w:rsid w:val="002C144F"/>
    <w:rsid w:val="002E2019"/>
    <w:rsid w:val="002E2B5C"/>
    <w:rsid w:val="00303E60"/>
    <w:rsid w:val="00307D89"/>
    <w:rsid w:val="0032114D"/>
    <w:rsid w:val="003306B2"/>
    <w:rsid w:val="00335867"/>
    <w:rsid w:val="003445B3"/>
    <w:rsid w:val="00345E25"/>
    <w:rsid w:val="00351603"/>
    <w:rsid w:val="003608B6"/>
    <w:rsid w:val="003662D8"/>
    <w:rsid w:val="00370FFF"/>
    <w:rsid w:val="00373BBA"/>
    <w:rsid w:val="003861A1"/>
    <w:rsid w:val="00386ED4"/>
    <w:rsid w:val="003A40F6"/>
    <w:rsid w:val="003A4EE2"/>
    <w:rsid w:val="003A7B8A"/>
    <w:rsid w:val="003B2E9F"/>
    <w:rsid w:val="003B53C1"/>
    <w:rsid w:val="003F6BDC"/>
    <w:rsid w:val="004012AB"/>
    <w:rsid w:val="00402CBB"/>
    <w:rsid w:val="00415653"/>
    <w:rsid w:val="00423B93"/>
    <w:rsid w:val="0042400C"/>
    <w:rsid w:val="00433D4F"/>
    <w:rsid w:val="00440009"/>
    <w:rsid w:val="00443620"/>
    <w:rsid w:val="004670C0"/>
    <w:rsid w:val="004672F3"/>
    <w:rsid w:val="00474B17"/>
    <w:rsid w:val="004822E5"/>
    <w:rsid w:val="00486073"/>
    <w:rsid w:val="00496B44"/>
    <w:rsid w:val="00497E6C"/>
    <w:rsid w:val="004A1619"/>
    <w:rsid w:val="004A3EE7"/>
    <w:rsid w:val="004C41F3"/>
    <w:rsid w:val="004D434B"/>
    <w:rsid w:val="004E175F"/>
    <w:rsid w:val="004E5EE7"/>
    <w:rsid w:val="004F404A"/>
    <w:rsid w:val="00504501"/>
    <w:rsid w:val="0051172B"/>
    <w:rsid w:val="005362B4"/>
    <w:rsid w:val="00536C64"/>
    <w:rsid w:val="00555B97"/>
    <w:rsid w:val="00564AD7"/>
    <w:rsid w:val="00582AC4"/>
    <w:rsid w:val="005964EC"/>
    <w:rsid w:val="005B33C5"/>
    <w:rsid w:val="005B763B"/>
    <w:rsid w:val="005C35A7"/>
    <w:rsid w:val="005C45EF"/>
    <w:rsid w:val="005D5DFE"/>
    <w:rsid w:val="005E66D0"/>
    <w:rsid w:val="005F00E8"/>
    <w:rsid w:val="0060692E"/>
    <w:rsid w:val="00613D9E"/>
    <w:rsid w:val="00622EEC"/>
    <w:rsid w:val="00624BE9"/>
    <w:rsid w:val="00624F0D"/>
    <w:rsid w:val="00631E07"/>
    <w:rsid w:val="006346AA"/>
    <w:rsid w:val="006413EE"/>
    <w:rsid w:val="00647CFB"/>
    <w:rsid w:val="006565FF"/>
    <w:rsid w:val="00657E85"/>
    <w:rsid w:val="006613CF"/>
    <w:rsid w:val="00674D32"/>
    <w:rsid w:val="006774AF"/>
    <w:rsid w:val="00690C5D"/>
    <w:rsid w:val="006912FC"/>
    <w:rsid w:val="00691C39"/>
    <w:rsid w:val="00691D22"/>
    <w:rsid w:val="006A2AF7"/>
    <w:rsid w:val="006A7510"/>
    <w:rsid w:val="006A7FBB"/>
    <w:rsid w:val="006B145E"/>
    <w:rsid w:val="006B173A"/>
    <w:rsid w:val="006D6A07"/>
    <w:rsid w:val="006E6836"/>
    <w:rsid w:val="006F76FE"/>
    <w:rsid w:val="007029F9"/>
    <w:rsid w:val="00711F8C"/>
    <w:rsid w:val="007177CC"/>
    <w:rsid w:val="0072139A"/>
    <w:rsid w:val="007238FE"/>
    <w:rsid w:val="00756ACA"/>
    <w:rsid w:val="00770A37"/>
    <w:rsid w:val="00772296"/>
    <w:rsid w:val="00781498"/>
    <w:rsid w:val="007A09B2"/>
    <w:rsid w:val="007B10D6"/>
    <w:rsid w:val="007B3ED8"/>
    <w:rsid w:val="007C2095"/>
    <w:rsid w:val="007D1CC2"/>
    <w:rsid w:val="007E2F60"/>
    <w:rsid w:val="007F566A"/>
    <w:rsid w:val="008056F7"/>
    <w:rsid w:val="00830D22"/>
    <w:rsid w:val="00831A16"/>
    <w:rsid w:val="0083692F"/>
    <w:rsid w:val="00840744"/>
    <w:rsid w:val="00847D1E"/>
    <w:rsid w:val="0086095D"/>
    <w:rsid w:val="0086631C"/>
    <w:rsid w:val="008671BC"/>
    <w:rsid w:val="0086753E"/>
    <w:rsid w:val="00873A2B"/>
    <w:rsid w:val="00873E09"/>
    <w:rsid w:val="0087796B"/>
    <w:rsid w:val="008B7299"/>
    <w:rsid w:val="008D568F"/>
    <w:rsid w:val="008D742B"/>
    <w:rsid w:val="008E01F0"/>
    <w:rsid w:val="008E034D"/>
    <w:rsid w:val="008F6B53"/>
    <w:rsid w:val="0091621B"/>
    <w:rsid w:val="009248DC"/>
    <w:rsid w:val="009317DC"/>
    <w:rsid w:val="0093346A"/>
    <w:rsid w:val="00942CDD"/>
    <w:rsid w:val="009442CF"/>
    <w:rsid w:val="00956D7B"/>
    <w:rsid w:val="00976B07"/>
    <w:rsid w:val="00986A6B"/>
    <w:rsid w:val="0099307E"/>
    <w:rsid w:val="0099495D"/>
    <w:rsid w:val="009A6446"/>
    <w:rsid w:val="009B72F6"/>
    <w:rsid w:val="009C038A"/>
    <w:rsid w:val="009D35C7"/>
    <w:rsid w:val="009E4572"/>
    <w:rsid w:val="00A11F74"/>
    <w:rsid w:val="00A13ECB"/>
    <w:rsid w:val="00A20748"/>
    <w:rsid w:val="00A429EC"/>
    <w:rsid w:val="00A51F90"/>
    <w:rsid w:val="00A6125E"/>
    <w:rsid w:val="00A64C5A"/>
    <w:rsid w:val="00A73B1F"/>
    <w:rsid w:val="00A75E1A"/>
    <w:rsid w:val="00A7656F"/>
    <w:rsid w:val="00A82905"/>
    <w:rsid w:val="00A83380"/>
    <w:rsid w:val="00A85F14"/>
    <w:rsid w:val="00AA3BFB"/>
    <w:rsid w:val="00AB0F17"/>
    <w:rsid w:val="00AC5769"/>
    <w:rsid w:val="00AE2235"/>
    <w:rsid w:val="00AE24FD"/>
    <w:rsid w:val="00AE58F0"/>
    <w:rsid w:val="00AE5A35"/>
    <w:rsid w:val="00B01F5D"/>
    <w:rsid w:val="00B02392"/>
    <w:rsid w:val="00B12F86"/>
    <w:rsid w:val="00B362B2"/>
    <w:rsid w:val="00B41E28"/>
    <w:rsid w:val="00B41F5C"/>
    <w:rsid w:val="00B42553"/>
    <w:rsid w:val="00B440C6"/>
    <w:rsid w:val="00B51613"/>
    <w:rsid w:val="00B547D3"/>
    <w:rsid w:val="00B5582D"/>
    <w:rsid w:val="00B649EE"/>
    <w:rsid w:val="00B64F73"/>
    <w:rsid w:val="00B70785"/>
    <w:rsid w:val="00B77425"/>
    <w:rsid w:val="00B81C33"/>
    <w:rsid w:val="00BC0CA7"/>
    <w:rsid w:val="00BC2DEC"/>
    <w:rsid w:val="00BD4CE1"/>
    <w:rsid w:val="00BE03B7"/>
    <w:rsid w:val="00BF441A"/>
    <w:rsid w:val="00C00C66"/>
    <w:rsid w:val="00C14622"/>
    <w:rsid w:val="00C23554"/>
    <w:rsid w:val="00C238F1"/>
    <w:rsid w:val="00C24C8A"/>
    <w:rsid w:val="00C323CC"/>
    <w:rsid w:val="00C65D50"/>
    <w:rsid w:val="00C72EE6"/>
    <w:rsid w:val="00C7435E"/>
    <w:rsid w:val="00C811F1"/>
    <w:rsid w:val="00C86A62"/>
    <w:rsid w:val="00C97B36"/>
    <w:rsid w:val="00CA1DB0"/>
    <w:rsid w:val="00CB1D77"/>
    <w:rsid w:val="00CC22FA"/>
    <w:rsid w:val="00CC5197"/>
    <w:rsid w:val="00CD61B3"/>
    <w:rsid w:val="00CD76AC"/>
    <w:rsid w:val="00CF262E"/>
    <w:rsid w:val="00D10EC5"/>
    <w:rsid w:val="00D11971"/>
    <w:rsid w:val="00D12D36"/>
    <w:rsid w:val="00D2185A"/>
    <w:rsid w:val="00D26BC1"/>
    <w:rsid w:val="00D35680"/>
    <w:rsid w:val="00D511F8"/>
    <w:rsid w:val="00D53354"/>
    <w:rsid w:val="00D65459"/>
    <w:rsid w:val="00D7047D"/>
    <w:rsid w:val="00D80C82"/>
    <w:rsid w:val="00D90699"/>
    <w:rsid w:val="00D921DA"/>
    <w:rsid w:val="00D93DB5"/>
    <w:rsid w:val="00DA56FA"/>
    <w:rsid w:val="00DA7F6C"/>
    <w:rsid w:val="00DB7324"/>
    <w:rsid w:val="00DB7D24"/>
    <w:rsid w:val="00DC2E23"/>
    <w:rsid w:val="00DF2233"/>
    <w:rsid w:val="00DF3129"/>
    <w:rsid w:val="00E02931"/>
    <w:rsid w:val="00E0368C"/>
    <w:rsid w:val="00E07D2C"/>
    <w:rsid w:val="00E17996"/>
    <w:rsid w:val="00E25DBD"/>
    <w:rsid w:val="00E2682D"/>
    <w:rsid w:val="00E3524A"/>
    <w:rsid w:val="00E5095B"/>
    <w:rsid w:val="00E54962"/>
    <w:rsid w:val="00E71038"/>
    <w:rsid w:val="00E73DB3"/>
    <w:rsid w:val="00E952E8"/>
    <w:rsid w:val="00EA0C37"/>
    <w:rsid w:val="00EA2911"/>
    <w:rsid w:val="00EE089A"/>
    <w:rsid w:val="00EE0FC6"/>
    <w:rsid w:val="00F00A71"/>
    <w:rsid w:val="00F10C9A"/>
    <w:rsid w:val="00F13379"/>
    <w:rsid w:val="00F17BDB"/>
    <w:rsid w:val="00F26421"/>
    <w:rsid w:val="00F360EA"/>
    <w:rsid w:val="00F36586"/>
    <w:rsid w:val="00F36D64"/>
    <w:rsid w:val="00F44AF6"/>
    <w:rsid w:val="00F450A2"/>
    <w:rsid w:val="00F64AE1"/>
    <w:rsid w:val="00F71B65"/>
    <w:rsid w:val="00F8288C"/>
    <w:rsid w:val="00FA5F90"/>
    <w:rsid w:val="00FA7690"/>
    <w:rsid w:val="00FB31D7"/>
    <w:rsid w:val="00FB4B8E"/>
    <w:rsid w:val="00FC1627"/>
    <w:rsid w:val="00FC670D"/>
    <w:rsid w:val="00FD6694"/>
    <w:rsid w:val="00FE6BEB"/>
    <w:rsid w:val="00FF0B1D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24DB"/>
  <w15:docId w15:val="{3D63F86D-6636-4B6D-9CDF-29BA6D03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ekstkomentarzaZnak">
    <w:name w:val="Tekst komentarza Znak"/>
    <w:basedOn w:val="Domylnaczcionkaakapitu"/>
    <w:uiPriority w:val="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  <w:lang w:val="en-GB"/>
    </w:rPr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Tematkomentarza">
    <w:name w:val="annotation subject"/>
    <w:basedOn w:val="Tekstkomentarza"/>
    <w:next w:val="Tekstkomentarza"/>
    <w:pPr>
      <w:spacing w:after="160"/>
    </w:pPr>
    <w:rPr>
      <w:rFonts w:ascii="Calibri" w:eastAsia="Calibri" w:hAnsi="Calibri"/>
      <w:b/>
      <w:bCs/>
      <w:lang w:val="en-GB" w:eastAsia="en-US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Pr>
      <w:lang w:val="en-GB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lang w:val="en-GB"/>
    </w:rPr>
  </w:style>
  <w:style w:type="paragraph" w:styleId="Tekstpodstawowy">
    <w:name w:val="Body Text"/>
    <w:basedOn w:val="Normalny"/>
    <w:link w:val="TekstpodstawowyZnak"/>
    <w:uiPriority w:val="99"/>
    <w:unhideWhenUsed/>
    <w:rsid w:val="00142038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Theme="minorHAnsi" w:hAnsi="Times New Roman"/>
      <w:color w:val="000000"/>
      <w:sz w:val="24"/>
      <w:szCs w:val="24"/>
      <w:lang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2038"/>
    <w:rPr>
      <w:rFonts w:ascii="Times New Roman" w:eastAsiaTheme="minorHAnsi" w:hAnsi="Times New Roman"/>
      <w:color w:val="000000"/>
      <w:sz w:val="24"/>
      <w:szCs w:val="24"/>
      <w:lang w:val="en-GB" w:eastAsia="x-none"/>
    </w:rPr>
  </w:style>
  <w:style w:type="table" w:styleId="Tabela-Siatka">
    <w:name w:val="Table Grid"/>
    <w:basedOn w:val="Standardowy"/>
    <w:uiPriority w:val="39"/>
    <w:rsid w:val="00A13EC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1">
    <w:name w:val="Stopka Znak1"/>
    <w:basedOn w:val="Domylnaczcionkaakapitu"/>
    <w:link w:val="Stopka"/>
    <w:uiPriority w:val="99"/>
    <w:rsid w:val="00504501"/>
    <w:rPr>
      <w:lang w:val="en-GB"/>
    </w:rPr>
  </w:style>
  <w:style w:type="paragraph" w:styleId="Poprawka">
    <w:name w:val="Revision"/>
    <w:hidden/>
    <w:uiPriority w:val="99"/>
    <w:semiHidden/>
    <w:rsid w:val="005C35A7"/>
    <w:pPr>
      <w:autoSpaceDN/>
      <w:spacing w:after="0" w:line="240" w:lineRule="auto"/>
      <w:textAlignment w:val="auto"/>
    </w:pPr>
    <w:rPr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64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64EC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6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1ca89112-5039-4e0a-8a42-fa93e498ad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FF32305F6104E892E2CFB19D29BCD" ma:contentTypeVersion="13" ma:contentTypeDescription="Utwórz nowy dokument." ma:contentTypeScope="" ma:versionID="042da1b165001eda95da21fb48c9f117">
  <xsd:schema xmlns:xsd="http://www.w3.org/2001/XMLSchema" xmlns:xs="http://www.w3.org/2001/XMLSchema" xmlns:p="http://schemas.microsoft.com/office/2006/metadata/properties" xmlns:ns2="579fad5e-8ba1-4294-bee9-344f0d9b97d5" xmlns:ns3="1ca89112-5039-4e0a-8a42-fa93e498add0" targetNamespace="http://schemas.microsoft.com/office/2006/metadata/properties" ma:root="true" ma:fieldsID="f819c541e59438c5a32a9c68f455ca25" ns2:_="" ns3:_="">
    <xsd:import namespace="579fad5e-8ba1-4294-bee9-344f0d9b97d5"/>
    <xsd:import namespace="1ca89112-5039-4e0a-8a42-fa93e498ad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4859fa0-1f8c-485d-87a1-804346ace369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89112-5039-4e0a-8a42-fa93e498a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97D09-9E64-4CD9-9815-6011FD04799D}">
  <ds:schemaRefs>
    <ds:schemaRef ds:uri="http://schemas.microsoft.com/office/2006/metadata/properties"/>
    <ds:schemaRef ds:uri="http://schemas.microsoft.com/office/infopath/2007/PartnerControls"/>
    <ds:schemaRef ds:uri="579fad5e-8ba1-4294-bee9-344f0d9b97d5"/>
    <ds:schemaRef ds:uri="1ca89112-5039-4e0a-8a42-fa93e498add0"/>
  </ds:schemaRefs>
</ds:datastoreItem>
</file>

<file path=customXml/itemProps2.xml><?xml version="1.0" encoding="utf-8"?>
<ds:datastoreItem xmlns:ds="http://schemas.openxmlformats.org/officeDocument/2006/customXml" ds:itemID="{6FB31CB1-BC76-4324-8038-81D766828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77B7E-50C7-442F-BD5B-CD3B856BCA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B67678-9513-4CDE-9BE2-C57440E48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fad5e-8ba1-4294-bee9-344f0d9b97d5"/>
    <ds:schemaRef ds:uri="1ca89112-5039-4e0a-8a42-fa93e498a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1611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Wieja</dc:creator>
  <dc:description/>
  <cp:lastModifiedBy>Mateusz Miszczyk</cp:lastModifiedBy>
  <cp:revision>27</cp:revision>
  <cp:lastPrinted>2022-11-29T14:01:00Z</cp:lastPrinted>
  <dcterms:created xsi:type="dcterms:W3CDTF">2023-12-04T15:57:00Z</dcterms:created>
  <dcterms:modified xsi:type="dcterms:W3CDTF">2024-01-19T13:49:00Z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0x010100992FF32305F6104E892E2CFB19D29BCD</vt:lpwstr>
  </property>
  <property fmtid="{D5CDD505-2E9C-101B-9397-08002B2CF9AE}" pid="3" name="MediaServiceImageTags">
    <vt:lpwstr/>
  </property>
</Properties>
</file>